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 xml:space="preserve">Łódź, dn. </w:t>
      </w:r>
      <w:r>
        <w:rPr>
          <w:rFonts w:eastAsia="Century Gothic" w:cs="Century Gothic" w:ascii="Century Gothic" w:hAnsi="Century Gothic"/>
        </w:rPr>
        <w:t>27</w:t>
      </w:r>
      <w:r>
        <w:rPr>
          <w:rFonts w:eastAsia="Century Gothic" w:cs="Century Gothic" w:ascii="Century Gothic" w:hAnsi="Century Gothic"/>
        </w:rPr>
        <w:t>.</w:t>
      </w:r>
      <w:r>
        <w:rPr>
          <w:rFonts w:eastAsia="Century Gothic" w:cs="Century Gothic" w:ascii="Century Gothic" w:hAnsi="Century Gothic"/>
        </w:rPr>
        <w:t>04</w:t>
      </w:r>
      <w:r>
        <w:rPr>
          <w:rFonts w:eastAsia="Century Gothic" w:cs="Century Gothic" w:ascii="Century Gothic" w:hAnsi="Century Gothic"/>
        </w:rPr>
        <w:t>.202</w:t>
      </w:r>
      <w:r>
        <w:rPr>
          <w:rFonts w:eastAsia="Century Gothic" w:cs="Century Gothic" w:ascii="Century Gothic" w:hAnsi="Century Gothic"/>
        </w:rPr>
        <w:t>6</w:t>
      </w:r>
      <w:r>
        <w:rPr>
          <w:rFonts w:eastAsia="Century Gothic" w:cs="Century Gothic" w:ascii="Century Gothic" w:hAnsi="Century Gothic"/>
        </w:rPr>
        <w:t xml:space="preserve">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Rozeznanie rynku nr 5</w:t>
      </w:r>
      <w:r>
        <w:rPr>
          <w:rFonts w:eastAsia="Century Gothic" w:cs="Century Gothic" w:ascii="Century Gothic" w:hAnsi="Century Gothic"/>
          <w:b/>
          <w:sz w:val="28"/>
          <w:szCs w:val="28"/>
        </w:rPr>
        <w:t>7</w:t>
      </w:r>
      <w:r>
        <w:rPr>
          <w:rFonts w:eastAsia="Century Gothic" w:cs="Century Gothic" w:ascii="Century Gothic" w:hAnsi="Century Gothic"/>
          <w:b/>
          <w:sz w:val="28"/>
          <w:szCs w:val="28"/>
        </w:rPr>
        <w:t>-2</w:t>
      </w:r>
      <w:r>
        <w:rPr>
          <w:rFonts w:eastAsia="Century Gothic" w:cs="Century Gothic" w:ascii="Century Gothic" w:hAnsi="Century Gothic"/>
          <w:b/>
          <w:sz w:val="28"/>
          <w:szCs w:val="28"/>
        </w:rPr>
        <w:t>6</w:t>
      </w:r>
      <w:r>
        <w:rPr>
          <w:rFonts w:eastAsia="Century Gothic" w:cs="Century Gothic" w:ascii="Century Gothic" w:hAnsi="Century Gothic"/>
          <w:b/>
          <w:sz w:val="28"/>
          <w:szCs w:val="28"/>
        </w:rPr>
        <w:t>-</w:t>
      </w:r>
      <w:r>
        <w:rPr>
          <w:rFonts w:eastAsia="Century Gothic" w:cs="Century Gothic" w:ascii="Century Gothic" w:hAnsi="Century Gothic"/>
          <w:b/>
          <w:sz w:val="28"/>
          <w:szCs w:val="28"/>
        </w:rPr>
        <w:t>ubezpieczenie</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w:t>
      </w:r>
      <w:r>
        <w:rPr>
          <w:rFonts w:eastAsia="Century Gothic" w:cs="Century Gothic" w:ascii="Century Gothic" w:hAnsi="Century Gothic"/>
          <w:color w:val="222222"/>
          <w:highlight w:val="white"/>
        </w:rPr>
        <w:t>ubezpieczenie badania klinicznego</w:t>
      </w:r>
      <w:r>
        <w:rPr>
          <w:rFonts w:eastAsia="Century Gothic" w:cs="Century Gothic" w:ascii="Century Gothic" w:hAnsi="Century Gothic"/>
          <w:color w:val="222222"/>
          <w:highlight w:val="white"/>
        </w:rPr>
        <w:t xml:space="preserve">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rFonts w:ascii="Century Gothic" w:hAnsi="Century Gothic"/>
        </w:rPr>
      </w:pPr>
      <w:r>
        <w:rPr>
          <w:rFonts w:ascii="Century Gothic" w:hAnsi="Century Gothic"/>
        </w:rPr>
        <w:t>Ubezpieczający: FileClo Sp. z o.o.</w:t>
      </w:r>
    </w:p>
    <w:p>
      <w:pPr>
        <w:pStyle w:val="Normal"/>
        <w:spacing w:lineRule="auto" w:line="240" w:before="0" w:after="0"/>
        <w:jc w:val="both"/>
        <w:rPr>
          <w:rFonts w:ascii="Century Gothic" w:hAnsi="Century Gothic"/>
        </w:rPr>
      </w:pPr>
      <w:r>
        <w:rPr>
          <w:rFonts w:ascii="Century Gothic" w:hAnsi="Century Gothic"/>
        </w:rPr>
      </w:r>
    </w:p>
    <w:p>
      <w:pPr>
        <w:pStyle w:val="Normal"/>
        <w:spacing w:lineRule="auto" w:line="240" w:before="0" w:after="0"/>
        <w:jc w:val="both"/>
        <w:rPr>
          <w:rFonts w:ascii="Century Gothic" w:hAnsi="Century Gothic"/>
        </w:rPr>
      </w:pPr>
      <w:r>
        <w:rPr>
          <w:rFonts w:ascii="Century Gothic" w:hAnsi="Century Gothic"/>
        </w:rPr>
        <w:t>Tytuł: A Phase 1a/b, Open-Label, Single Ascending Dose (SAD) and Multiple Ascending Dose (MAD) Study to Evaluate the Safety, Tolerability, Pharmacokinetics, and Preliminary Antitumor Activity of FLC-436 Administered Orally in Patients With Refractory or Relapsed Solid Malignancies (FORCE-1 Study).</w:t>
      </w:r>
    </w:p>
    <w:p>
      <w:pPr>
        <w:pStyle w:val="Normal"/>
        <w:spacing w:lineRule="auto" w:line="240" w:before="0" w:after="0"/>
        <w:jc w:val="both"/>
        <w:rPr>
          <w:rFonts w:ascii="Century Gothic" w:hAnsi="Century Gothic"/>
        </w:rPr>
      </w:pPr>
      <w:r>
        <w:rPr>
          <w:rFonts w:ascii="Century Gothic" w:hAnsi="Century Gothic"/>
        </w:rPr>
      </w:r>
    </w:p>
    <w:p>
      <w:pPr>
        <w:pStyle w:val="Normal"/>
        <w:spacing w:lineRule="auto" w:line="240" w:before="0" w:after="0"/>
        <w:jc w:val="both"/>
        <w:rPr>
          <w:rFonts w:ascii="Century Gothic" w:hAnsi="Century Gothic"/>
        </w:rPr>
      </w:pPr>
      <w:r>
        <w:rPr>
          <w:rFonts w:ascii="Century Gothic" w:hAnsi="Century Gothic"/>
        </w:rPr>
        <w:t>Suma gwarancyjna: 2 000 000,00 EUR</w:t>
      </w:r>
    </w:p>
    <w:p>
      <w:pPr>
        <w:pStyle w:val="Normal"/>
        <w:spacing w:lineRule="auto" w:line="240" w:before="0" w:after="0"/>
        <w:jc w:val="both"/>
        <w:rPr>
          <w:rFonts w:ascii="Century Gothic" w:hAnsi="Century Gothic"/>
        </w:rPr>
      </w:pPr>
      <w:r>
        <w:rPr>
          <w:rFonts w:ascii="Century Gothic" w:hAnsi="Century Gothic"/>
        </w:rPr>
      </w:r>
    </w:p>
    <w:p>
      <w:pPr>
        <w:pStyle w:val="Normal"/>
        <w:spacing w:lineRule="auto" w:line="240" w:before="0" w:after="0"/>
        <w:jc w:val="both"/>
        <w:rPr>
          <w:rFonts w:ascii="Century Gothic" w:hAnsi="Century Gothic"/>
        </w:rPr>
      </w:pPr>
      <w:r>
        <w:rPr>
          <w:rFonts w:ascii="Century Gothic" w:hAnsi="Century Gothic"/>
        </w:rPr>
        <w:t>Liczba uczestników: 30</w:t>
      </w:r>
    </w:p>
    <w:p>
      <w:pPr>
        <w:pStyle w:val="Normal"/>
        <w:spacing w:lineRule="auto" w:line="240" w:before="0" w:after="0"/>
        <w:jc w:val="both"/>
        <w:rPr>
          <w:rFonts w:ascii="Century Gothic" w:hAnsi="Century Gothic"/>
        </w:rPr>
      </w:pPr>
      <w:r>
        <w:rPr>
          <w:rFonts w:ascii="Century Gothic" w:hAnsi="Century Gothic"/>
        </w:rPr>
      </w:r>
    </w:p>
    <w:p>
      <w:pPr>
        <w:pStyle w:val="Normal"/>
        <w:spacing w:lineRule="auto" w:line="240" w:before="0" w:after="0"/>
        <w:jc w:val="both"/>
        <w:rPr>
          <w:rFonts w:ascii="Century Gothic" w:hAnsi="Century Gothic"/>
        </w:rPr>
      </w:pPr>
      <w:r>
        <w:rPr>
          <w:rFonts w:ascii="Century Gothic" w:hAnsi="Century Gothic"/>
        </w:rPr>
        <w:t>Zakres: Odpowiedzialność cywilna badacza i sponsora w związku z prowadzeniem badania.</w:t>
      </w:r>
    </w:p>
    <w:p>
      <w:pPr>
        <w:pStyle w:val="Normal"/>
        <w:spacing w:lineRule="auto" w:line="240" w:before="0" w:after="0"/>
        <w:jc w:val="both"/>
        <w:rPr>
          <w:rFonts w:ascii="Century Gothic" w:hAnsi="Century Gothic"/>
        </w:rPr>
      </w:pPr>
      <w:r>
        <w:rPr>
          <w:rFonts w:ascii="Century Gothic" w:hAnsi="Century Gothic"/>
        </w:rPr>
      </w:r>
    </w:p>
    <w:p>
      <w:pPr>
        <w:pStyle w:val="Normal"/>
        <w:spacing w:lineRule="auto" w:line="240" w:before="0" w:after="0"/>
        <w:jc w:val="both"/>
        <w:rPr>
          <w:rFonts w:ascii="Century Gothic" w:hAnsi="Century Gothic"/>
        </w:rPr>
      </w:pPr>
      <w:r>
        <w:rPr>
          <w:rFonts w:ascii="Century Gothic" w:hAnsi="Century Gothic"/>
        </w:rPr>
        <w:t>Okres ubezpieczenia: 24 miesiące</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1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Termin składania ofert: 0</w:t>
      </w:r>
      <w:r>
        <w:rPr>
          <w:rFonts w:eastAsia="Century Gothic" w:cs="Century Gothic" w:ascii="Century Gothic" w:hAnsi="Century Gothic"/>
        </w:rPr>
        <w:t>5</w:t>
      </w:r>
      <w:r>
        <w:rPr>
          <w:rFonts w:eastAsia="Century Gothic" w:cs="Century Gothic" w:ascii="Century Gothic" w:hAnsi="Century Gothic"/>
          <w:shd w:fill="FFFFFF" w:val="clear"/>
        </w:rPr>
        <w:t>.0</w:t>
      </w:r>
      <w:r>
        <w:rPr>
          <w:rFonts w:eastAsia="Century Gothic" w:cs="Century Gothic" w:ascii="Century Gothic" w:hAnsi="Century Gothic"/>
          <w:shd w:fill="FFFFFF" w:val="clear"/>
        </w:rPr>
        <w:t>5</w:t>
      </w:r>
      <w:r>
        <w:rPr>
          <w:rFonts w:eastAsia="Century Gothic" w:cs="Century Gothic" w:ascii="Century Gothic" w:hAnsi="Century Gothic"/>
          <w:shd w:fill="FFFFFF" w:val="clear"/>
        </w:rPr>
        <w:t>.2026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5</w:t>
      </w:r>
      <w:r>
        <w:rPr>
          <w:rFonts w:eastAsia="Roboto" w:cs="Roboto" w:ascii="Roboto" w:hAnsi="Roboto"/>
          <w:b/>
          <w:color w:val="1F1F1F"/>
          <w:highlight w:val="white"/>
        </w:rPr>
        <w:t>7</w:t>
      </w:r>
      <w:r>
        <w:rPr>
          <w:rFonts w:eastAsia="Roboto" w:cs="Roboto" w:ascii="Roboto" w:hAnsi="Roboto"/>
          <w:b/>
          <w:color w:val="1F1F1F"/>
          <w:highlight w:val="white"/>
        </w:rPr>
        <w:t>-2</w:t>
      </w:r>
      <w:r>
        <w:rPr>
          <w:rFonts w:eastAsia="Roboto" w:cs="Roboto" w:ascii="Roboto" w:hAnsi="Roboto"/>
          <w:b/>
          <w:color w:val="1F1F1F"/>
          <w:highlight w:val="white"/>
        </w:rPr>
        <w:t>6</w:t>
      </w:r>
      <w:r>
        <w:rPr>
          <w:rFonts w:eastAsia="Roboto" w:cs="Roboto" w:ascii="Roboto" w:hAnsi="Roboto"/>
          <w:b/>
          <w:color w:val="1F1F1F"/>
          <w:highlight w:val="white"/>
        </w:rPr>
        <w:t>-dokumenty</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Century Gothic">
    <w:charset w:val="01"/>
    <w:family w:val="swiss"/>
    <w:pitch w:val="variable"/>
  </w:font>
  <w:font w:name="Robot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InternetLink11">
    <w:name w:val="Internet Link11"/>
    <w:qFormat/>
    <w:rPr>
      <w:color w:val="000080"/>
      <w:u w:val="single"/>
    </w:rPr>
  </w:style>
  <w:style w:type="character" w:styleId="InternetLink12">
    <w:name w:val="Internet Link12"/>
    <w:qFormat/>
    <w:rPr>
      <w:color w:val="000080"/>
      <w:u w:val="single"/>
    </w:rPr>
  </w:style>
  <w:style w:type="character" w:styleId="InternetLink13">
    <w:name w:val="Internet Link13"/>
    <w:qFormat/>
    <w:rPr>
      <w:color w:val="000080"/>
      <w:u w:val="single"/>
    </w:rPr>
  </w:style>
  <w:style w:type="character" w:styleId="InternetLink14">
    <w:name w:val="Internet Link14"/>
    <w:qFormat/>
    <w:rPr>
      <w:color w:val="000080"/>
      <w:u w:val="single"/>
    </w:rPr>
  </w:style>
  <w:style w:type="character" w:styleId="InternetLink15">
    <w:name w:val="Internet Link15"/>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qFormat/>
    <w:pPr>
      <w:spacing w:before="0" w:after="0"/>
      <w:ind w:left="720"/>
      <w:contextualSpacing/>
    </w:pPr>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86</TotalTime>
  <Application>LibreOffice/24.2.4.2$Windows_X86_64 LibreOffice_project/51a6219feb6075d9a4c46691dcfe0cd9c4fff3c2</Application>
  <AppVersion>15.0000</AppVersion>
  <Pages>3</Pages>
  <Words>594</Words>
  <Characters>4031</Characters>
  <CharactersWithSpaces>4646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2026-04-27T14:25:30Z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