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eastAsia="Century Gothic" w:cs="Century Gothic"/>
        </w:rPr>
      </w:pPr>
      <w:r>
        <w:rPr/>
        <w:tab/>
        <w:t xml:space="preserve">                               </w:t>
        <w:tab/>
        <w:tab/>
        <w:tab/>
        <w:tab/>
        <w:tab/>
        <w:tab/>
      </w:r>
      <w:r>
        <w:rPr>
          <w:rFonts w:eastAsia="Century Gothic" w:cs="Century Gothic" w:ascii="Century Gothic" w:hAnsi="Century Gothic"/>
        </w:rPr>
        <w:t>Łódź, dn. 22.12.2025 r.</w:t>
      </w:r>
    </w:p>
    <w:p>
      <w:pPr>
        <w:pStyle w:val="Normal"/>
        <w:spacing w:lineRule="auto" w:line="240" w:before="0" w:after="320"/>
        <w:jc w:val="center"/>
        <w:rPr>
          <w:rFonts w:ascii="Century Gothic" w:hAnsi="Century Gothic" w:eastAsia="Century Gothic" w:cs="Century Gothic"/>
          <w:b/>
          <w:sz w:val="28"/>
          <w:szCs w:val="28"/>
        </w:rPr>
      </w:pPr>
      <w:r>
        <w:rPr>
          <w:rFonts w:eastAsia="Century Gothic" w:cs="Century Gothic" w:ascii="Century Gothic" w:hAnsi="Century Gothic"/>
          <w:b/>
          <w:sz w:val="28"/>
          <w:szCs w:val="28"/>
        </w:rPr>
        <w:t>Rozeznanie rynku nr 54-25-dokumenty</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color w:val="222222"/>
          <w:highlight w:val="white"/>
        </w:rPr>
        <w:t xml:space="preserve">Przedmiotem zamówienia jest opracowanie i złożenie dokumentów umożliwiających rejestrację nowego badania klinicznego kandydata na lek FLC-436 </w:t>
      </w:r>
      <w:r>
        <w:rPr>
          <w:rFonts w:eastAsia="Century Gothic" w:cs="Century Gothic" w:ascii="Century Gothic" w:hAnsi="Century Gothic"/>
        </w:rPr>
        <w:t>na potrzeby realizacji Projektu komercyjnego w ramach Konkursu na rozwój medycyny celowanej lub personalizowanej na bazie produktów leczniczych opartych na kwasach nukleinowych i związkach drobnocząsteczkowych, dofinansowanego przez Agencję Badań Medycznych.</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rPr>
        <w:t>Zamawiający:</w:t>
      </w:r>
      <w:r>
        <w:rPr>
          <w:rFonts w:eastAsia="Century Gothic" w:cs="Century Gothic" w:ascii="Century Gothic" w:hAnsi="Century Gothic"/>
        </w:rPr>
        <w:t xml:space="preserve"> FiLeClo sp. z o.o., Al. Piłsudskiego 141, 92-318 Łódź, NIP 7282829858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sz w:val="28"/>
          <w:szCs w:val="28"/>
        </w:rPr>
      </w:pPr>
      <w:r>
        <w:rPr>
          <w:rFonts w:eastAsia="Century Gothic" w:cs="Century Gothic" w:ascii="Century Gothic" w:hAnsi="Century Gothic"/>
          <w:sz w:val="28"/>
          <w:szCs w:val="28"/>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Opis przedmiotu zamówienia</w:t>
      </w:r>
    </w:p>
    <w:p>
      <w:pPr>
        <w:pStyle w:val="Normal"/>
        <w:spacing w:lineRule="auto" w:line="240" w:before="0" w:after="0"/>
        <w:jc w:val="both"/>
        <w:rPr>
          <w:rFonts w:ascii="Century Gothic" w:hAnsi="Century Gothic" w:eastAsia="Century Gothic" w:cs="Century Gothic"/>
          <w:b/>
        </w:rPr>
      </w:pPr>
      <w:r>
        <w:rPr>
          <w:rFonts w:eastAsia="Century Gothic" w:cs="Century Gothic" w:ascii="Century Gothic" w:hAnsi="Century Gothic"/>
          <w:b/>
        </w:rPr>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t xml:space="preserve">Przedmiotem zamówienia jest </w:t>
      </w:r>
      <w:r>
        <w:rPr>
          <w:rFonts w:eastAsia="Century Gothic" w:cs="Calibri" w:ascii="Century Gothic" w:hAnsi="Century Gothic" w:cstheme="minorHAnsi"/>
          <w:b w:val="false"/>
          <w:bCs w:val="false"/>
          <w:color w:val="222222"/>
          <w:highlight w:val="white"/>
          <w:shd w:fill="FFFFFF" w:val="clear"/>
        </w:rPr>
        <w:t>opracowanie i złożenie dokumentów umożliwiających rejestrację nowego badania klinicznego kandydata na lek FLC-436, na który będą się składać m.in. Protokół badania, Broszura badacza, Formularz świadomej zgody pacjenta i Karta obserwacji klinicznej do urzędów regulatorowych (Komisji Bioetycznej i Urzędu Rejestracji Produktów Leczniczych, Wyrobów Medycznych i Produktów Biobójczych)</w:t>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alibri" w:ascii="Century Gothic" w:hAnsi="Century Gothic" w:cstheme="minorHAnsi"/>
          <w:b w:val="false"/>
          <w:bCs w:val="false"/>
          <w:color w:val="222222"/>
          <w:highlight w:val="white"/>
          <w:shd w:fill="FFFFFF" w:val="clear"/>
        </w:rPr>
        <w:t>Protokół badania klinicznego ma za zadanie określić jego podstawy teoretyczne i uzasadnienie prowadzenia, jego cele (pierwszo- i drugorzędowe) i plan prowadzenia badania, opis metody i analizy statystycznej, dobór uczestników do badania, kryteria włączenia i wyłączenia uczestników oraz zaplanowane do przeprowadzenia leczenie i badania/testy w jego trakcie. W dokumencie mają zostać również przedstawione dotychczasowe wyniki badań przedklinicznych, w tym opis mechanizmu działania i dotychczasowa ocena skuteczności i bezpieczeństwa potencjalnego kandydata na lek. Pozostałe informacje które powinny być zawarte w protokole badania to: analiza statystyczna, zagadnienia etyczne, metody i źródła finansowania badań, informacje o wykupionym ubezpieczeniu w przypadkach zdarzeń niepożądanych, polityka poufności i zasady publikacji danych zebranych w trakcie badania klinicznego. Założenia prowadzenia badania klinicznego mają być zgodne z rekomendacjami ICH oraz zasadami GCP i dostosowane do obecnie panującej sytuacji epidemiologicznej. Ze względu na charakter kandydata na leg (lek przeciw nowotworowy, brak możliwości sprawdzenia bezpieczeństwa podania leku w grupie zdrowych pacjentów) protokół badania będzie przewidywał badania fazy I/Iia. Celem pierwszorzędowym badania będzie określenie bezpieczeństwa podania leku i wystąpienia zdarzeń niepożądanych w klasyfikacji CTCAE. Celem drugorzędowym badania jest ocena odpowiedzi na leczenie zgodnie z kryteriami RECIST, określenie kinetyki rozwoju nowotworu w porównaniu z sytuacją przed wprowadzeniem leczenia, określenie czasu przeżycia pacjentów.</w:t>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alibri" w:ascii="Century Gothic" w:hAnsi="Century Gothic" w:cstheme="minorHAnsi"/>
          <w:b w:val="false"/>
          <w:bCs w:val="false"/>
          <w:color w:val="222222"/>
          <w:highlight w:val="white"/>
          <w:shd w:fill="FFFFFF" w:val="clear"/>
        </w:rPr>
        <w:t>Broszura badacza ma zostać wykorzystana przez ośrodki badawcze oraz Lekasza-Badacza, przeprowadzającego podanie substancji badanej. W dokumencie mają być zawarte: a) informacje dotyczące substancji wyjściowej; b) charakterystyka fizyko-chemiczna substancji badanej – kandydata na lek FLC-436, podsumowanie procesów produkcyjnych substancji badanej, mechanizm działania i instrukcja jej podawania; c)informacje z dotychczasowych badań przedklinicznych FLC-436; d) ocena ryzyka.</w:t>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alibri" w:ascii="Century Gothic" w:hAnsi="Century Gothic" w:cstheme="minorHAnsi"/>
          <w:b w:val="false"/>
          <w:bCs w:val="false"/>
          <w:color w:val="222222"/>
          <w:highlight w:val="white"/>
          <w:shd w:fill="FFFFFF" w:val="clear"/>
        </w:rPr>
        <w:t>Formularz świadomej zgody pacjenta ma stanowić potwierdzenie, że osoba biorąca udział w badaniu klinicznym została poinformowana o wszystkich aspektach badania przez Lekarza-Badacza.</w:t>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alibri" w:ascii="Century Gothic" w:hAnsi="Century Gothic" w:cstheme="minorHAnsi"/>
          <w:b w:val="false"/>
          <w:bCs w:val="false"/>
          <w:color w:val="222222"/>
          <w:highlight w:val="white"/>
          <w:shd w:fill="FFFFFF" w:val="clear"/>
        </w:rPr>
        <w:t xml:space="preserve">Karta obserwacji klinicznej (CRF) to utajniony dokument, który ma stanowić bazę informacji o każdym uczestniku badania zgodnie z protokołem badania i wymaganiami organów regulacyjnych, ułatwić raportowanie wyników pomiędzy CRO a zespołem badawczym, a także zbierać informacje i występowaniu działań niepożądanych. </w:t>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alibri" w:ascii="Century Gothic" w:hAnsi="Century Gothic" w:cstheme="minorHAnsi"/>
          <w:b w:val="false"/>
          <w:bCs w:val="false"/>
          <w:color w:val="222222"/>
          <w:highlight w:val="white"/>
          <w:shd w:fill="FFFFFF" w:val="clear"/>
        </w:rPr>
        <w:t>Planowane zgłoszenie badania klinicznego substancji FLC-436 do komisji Bioetycznej uzupełnione będzie listą ośrodków badawczych z uwzględnieniem CV Głównych Badaczy, w których zostanie przeprowadzone badanie kliniczne. Po pozytywnej opinii Komisji Bioetycznej ma zostać skierowane zapytanie o zgodę na przeprowadzenie badania klinicznego do URPL. Harmonogram projektu uwzględnia czas potrzebny na wniesienie ewentualnych uzupełnień do obu instytucji.</w:t>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Warunki udziału w rozeznaniu</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r>
      <w:bookmarkStart w:id="0" w:name="_heading=h.tr7i1vfvm27e"/>
      <w:bookmarkStart w:id="1" w:name="_heading=h.tr7i1vfvm27e"/>
      <w:bookmarkEnd w:id="1"/>
    </w:p>
    <w:p>
      <w:pPr>
        <w:pStyle w:val="Normal"/>
        <w:spacing w:lineRule="auto" w:line="240" w:before="0" w:after="320"/>
        <w:jc w:val="both"/>
        <w:rPr>
          <w:rFonts w:ascii="Century Gothic" w:hAnsi="Century Gothic" w:eastAsia="Century Gothic" w:cs="Century Gothic"/>
          <w:b/>
        </w:rPr>
      </w:pPr>
      <w:bookmarkStart w:id="2" w:name="_heading=h.tus9afu7643n"/>
      <w:bookmarkEnd w:id="2"/>
      <w:r>
        <w:rPr>
          <w:rFonts w:eastAsia="Century Gothic" w:cs="Century Gothic" w:ascii="Century Gothic" w:hAnsi="Century Gothic"/>
          <w:b/>
        </w:rPr>
        <w:t>Sytuacja ekonomiczna i finansowa</w:t>
      </w:r>
    </w:p>
    <w:p>
      <w:pPr>
        <w:pStyle w:val="Normal"/>
        <w:spacing w:lineRule="auto" w:line="240" w:before="0" w:after="0"/>
        <w:jc w:val="both"/>
        <w:rPr>
          <w:rFonts w:ascii="Century Gothic" w:hAnsi="Century Gothic" w:eastAsia="Century Gothic" w:cs="Century Gothic"/>
        </w:rPr>
      </w:pPr>
      <w:bookmarkStart w:id="3" w:name="_heading=h.1pxezwc"/>
      <w:bookmarkEnd w:id="3"/>
      <w:r>
        <w:rPr>
          <w:rFonts w:eastAsia="Century Gothic" w:cs="Century Gothic" w:ascii="Century Gothic" w:hAnsi="Century Gothic"/>
        </w:rPr>
        <w:t>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r>
        <w:rPr>
          <w:rFonts w:eastAsia="Century Gothic" w:cs="Century Gothic" w:ascii="Century Gothic" w:hAnsi="Century Gothic"/>
          <w:b/>
        </w:rPr>
        <w:t>Dodatkowe warunki</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Zamawiający zastrzega sobie prawo do unieważnienia rozeznania bez podania przyczyny.</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przypadku unieważnienia rozeznania oferentom nie przysługuje roszczenie o zwrot kosztów uczestnictwa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Odstąpienie przez zamawiającego od zawarcia umowy w przypadku zawiadomienia oferenta o wyborze jego oferty nie może być podstawą roszczeń poniesionych kosztów udziału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toku dokonywania oceny złożonych ofert zamawiający może prosić o udzielenie przez oferentów wyjaśnień dotyczących treści złożonych przez nich dokumentów.</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Zamawiający zastrzega sobie prawo do negocjacji ofert z oferentem, którego oferta zdobyła największą liczbę punktów, zwłaszcza gdy cena oferowana przez oferenta przekracza budżet przeznaczony przez zamawiającego na realizację danego zamówienia. </w:t>
      </w:r>
    </w:p>
    <w:p>
      <w:pPr>
        <w:pStyle w:val="Normal"/>
        <w:widowControl w:val="false"/>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Ważność złożonej oferty przez okres 14 dni od upływu terminu składania ofert.</w:t>
      </w:r>
    </w:p>
    <w:p>
      <w:pPr>
        <w:pStyle w:val="Normal"/>
        <w:widowControl w:val="false"/>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320"/>
        <w:ind w:hanging="0" w:left="9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4" w:name="_heading=h.1ci93xb"/>
      <w:bookmarkEnd w:id="4"/>
      <w:r>
        <w:rPr>
          <w:rFonts w:eastAsia="Century Gothic" w:cs="Century Gothic" w:ascii="Century Gothic" w:hAnsi="Century Gothic"/>
          <w:b/>
        </w:rPr>
        <w:t>Warunki zmiany umowy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Zamawiający podpisze z wybranym oferentem umowę na realizację usługi w terminie nie dłuższym niż 14 dni od dnia zakończenia procedury wyboru. </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Zamawiający zastrzega sobie możliwość zmiany umowy zawartej z oferentem wybranym w wyniku niniejszego zapytania ofertowego, z następujących powodów:</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zaistnienia innej, niemożliwej do przewidzenia w momencie zawarcia umowy okoliczności prawnej, ekonomicznej lub technicznej, za którą żadna ze stron nie ponosi odpowiedzialności, skutkująca brakiem możliwości należytego wykonania umowy, zgodnie z zapisami zapytania ofertowego;</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zmian regulacji prawnych obowiązujących w dniu podpisania umowy.</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5" w:name="_heading=h.3whwml4"/>
      <w:bookmarkEnd w:id="5"/>
      <w:r>
        <w:rPr>
          <w:rFonts w:eastAsia="Century Gothic" w:cs="Century Gothic" w:ascii="Century Gothic" w:hAnsi="Century Gothic"/>
          <w:b/>
        </w:rPr>
        <w:t>Lista dokumentów/oświadczeń wymaganych od Wykonawcy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Załącznik nr 1 – Formularz oferty </w:t>
      </w:r>
    </w:p>
    <w:p>
      <w:pPr>
        <w:pStyle w:val="Normal"/>
        <w:spacing w:lineRule="auto" w:line="240" w:before="0" w:after="320"/>
        <w:jc w:val="both"/>
        <w:rPr>
          <w:rFonts w:ascii="Century Gothic" w:hAnsi="Century Gothic" w:eastAsia="Century Gothic" w:cs="Century Gothic"/>
          <w:b/>
        </w:rPr>
      </w:pPr>
      <w:r>
        <w:rPr>
          <w:rFonts w:eastAsia="Century Gothic" w:cs="Century Gothic" w:ascii="Century Gothic" w:hAnsi="Century Gothic"/>
          <w:b/>
        </w:rPr>
        <w:t>Zamówienia uzupełniające</w:t>
      </w:r>
    </w:p>
    <w:p>
      <w:pPr>
        <w:pStyle w:val="Normal"/>
        <w:spacing w:lineRule="auto" w:line="240" w:before="0" w:after="320"/>
        <w:jc w:val="both"/>
        <w:rPr>
          <w:rFonts w:ascii="Century Gothic" w:hAnsi="Century Gothic" w:eastAsia="Century Gothic" w:cs="Century Gothic"/>
        </w:rPr>
      </w:pPr>
      <w:bookmarkStart w:id="6" w:name="_heading=h.2bn6wsx"/>
      <w:bookmarkEnd w:id="6"/>
      <w:r>
        <w:rPr>
          <w:rFonts w:eastAsia="Century Gothic" w:cs="Century Gothic" w:ascii="Century Gothic" w:hAnsi="Century Gothic"/>
        </w:rPr>
        <w:t>Możliwe jest składanie uzupełniających zamówień wybranemu oferentowi wyłącznie, jeśli są one zgodne z głównym celem tego zamówienia, o wartości nie przekraczającej 50% wartości niniejszego zamówienia.</w:t>
      </w:r>
    </w:p>
    <w:p>
      <w:pPr>
        <w:pStyle w:val="Normal"/>
        <w:spacing w:lineRule="auto" w:line="240" w:before="0" w:after="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r>
    </w:p>
    <w:p>
      <w:pPr>
        <w:pStyle w:val="Normal"/>
        <w:numPr>
          <w:ilvl w:val="0"/>
          <w:numId w:val="3"/>
        </w:numPr>
        <w:spacing w:lineRule="auto" w:line="276" w:before="0" w:after="0"/>
        <w:ind w:hanging="360" w:left="720"/>
        <w:jc w:val="both"/>
        <w:rPr>
          <w:rFonts w:ascii="Century Gothic" w:hAnsi="Century Gothic" w:eastAsia="Century Gothic" w:cs="Century Gothic"/>
          <w:b/>
          <w:sz w:val="28"/>
          <w:szCs w:val="28"/>
        </w:rPr>
      </w:pPr>
      <w:bookmarkStart w:id="7" w:name="_heading=h.3znysh7"/>
      <w:bookmarkEnd w:id="7"/>
      <w:r>
        <w:rPr>
          <w:rFonts w:eastAsia="Century Gothic" w:cs="Century Gothic" w:ascii="Century Gothic" w:hAnsi="Century Gothic"/>
          <w:b/>
          <w:sz w:val="28"/>
          <w:szCs w:val="28"/>
        </w:rPr>
        <w:t>Miejsce i sposób składania ofert</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Termin składania ofert: 07</w:t>
      </w:r>
      <w:r>
        <w:rPr>
          <w:rFonts w:eastAsia="Century Gothic" w:cs="Century Gothic" w:ascii="Century Gothic" w:hAnsi="Century Gothic"/>
          <w:shd w:fill="FFFFFF" w:val="clear"/>
        </w:rPr>
        <w:t>.01.2026 r.</w:t>
      </w:r>
      <w:r>
        <w:rPr>
          <w:rFonts w:eastAsia="Century Gothic" w:cs="Century Gothic" w:ascii="Century Gothic" w:hAnsi="Century Gothic"/>
        </w:rPr>
        <w:t xml:space="preserve"> Oferty złożone po terminie nie będą rozpatrywane.</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Ofertę wraz wymaganymi załącznikami należy składać w formie elektronicznej na adres mailowy: </w:t>
      </w:r>
      <w:hyperlink r:id="rId2">
        <w:r>
          <w:rPr>
            <w:rStyle w:val="Hyperlink"/>
            <w:rFonts w:eastAsia="Century Gothic" w:cs="Century Gothic" w:ascii="Century Gothic" w:hAnsi="Century Gothic"/>
            <w:color w:val="0000FF"/>
            <w:u w:val="single"/>
          </w:rPr>
          <w:t>granty@fileclo.pl</w:t>
        </w:r>
      </w:hyperlink>
      <w:r>
        <w:rPr>
          <w:rFonts w:eastAsia="Century Gothic" w:cs="Century Gothic" w:ascii="Century Gothic" w:hAnsi="Century Gothic"/>
        </w:rPr>
        <w:t xml:space="preserve"> lub </w:t>
      </w:r>
      <w:hyperlink r:id="rId3">
        <w:r>
          <w:rPr>
            <w:rStyle w:val="Hyperlink"/>
            <w:rFonts w:eastAsia="Century Gothic" w:cs="Century Gothic" w:ascii="Century Gothic" w:hAnsi="Century Gothic"/>
          </w:rPr>
          <w:t>pilaszek@trimen.pl</w:t>
        </w:r>
      </w:hyperlink>
      <w:r>
        <w:rPr>
          <w:rFonts w:eastAsia="Century Gothic" w:cs="Century Gothic" w:ascii="Century Gothic" w:hAnsi="Century Gothic"/>
        </w:rPr>
        <w:t xml:space="preserve"> W tytule wiadomości należy podać numer zapytania ofertowego tj. </w:t>
      </w:r>
      <w:r>
        <w:rPr>
          <w:rFonts w:eastAsia="Roboto" w:cs="Roboto" w:ascii="Roboto" w:hAnsi="Roboto"/>
          <w:b/>
          <w:color w:val="1F1F1F"/>
          <w:highlight w:val="white"/>
        </w:rPr>
        <w:t>5</w:t>
      </w:r>
      <w:r>
        <w:rPr>
          <w:rFonts w:eastAsia="Roboto" w:cs="Roboto" w:ascii="Roboto" w:hAnsi="Roboto"/>
          <w:b/>
          <w:color w:val="1F1F1F"/>
          <w:highlight w:val="white"/>
        </w:rPr>
        <w:t>4</w:t>
      </w:r>
      <w:r>
        <w:rPr>
          <w:rFonts w:eastAsia="Roboto" w:cs="Roboto" w:ascii="Roboto" w:hAnsi="Roboto"/>
          <w:b/>
          <w:color w:val="1F1F1F"/>
          <w:highlight w:val="white"/>
        </w:rPr>
        <w:t>-25-</w:t>
      </w:r>
      <w:r>
        <w:rPr>
          <w:rFonts w:eastAsia="Roboto" w:cs="Roboto" w:ascii="Roboto" w:hAnsi="Roboto"/>
          <w:b/>
          <w:color w:val="1F1F1F"/>
          <w:highlight w:val="white"/>
        </w:rPr>
        <w:t>dokumenty</w:t>
      </w:r>
    </w:p>
    <w:p>
      <w:pPr>
        <w:pStyle w:val="Normal"/>
        <w:numPr>
          <w:ilvl w:val="0"/>
          <w:numId w:val="1"/>
        </w:numPr>
        <w:shd w:val="clear" w:fill="FFFFFF"/>
        <w:spacing w:lineRule="auto" w:line="276" w:before="0" w:after="220"/>
        <w:ind w:hanging="360" w:left="720"/>
        <w:jc w:val="both"/>
        <w:rPr>
          <w:rFonts w:ascii="Century Gothic" w:hAnsi="Century Gothic" w:eastAsia="Century Gothic" w:cs="Century Gothic"/>
        </w:rPr>
      </w:pPr>
      <w:bookmarkStart w:id="8" w:name="_heading=h.tyjcwt"/>
      <w:bookmarkEnd w:id="8"/>
      <w:r>
        <w:rPr>
          <w:rFonts w:eastAsia="Century Gothic" w:cs="Century Gothic" w:ascii="Century Gothic" w:hAnsi="Century Gothic"/>
        </w:rPr>
        <w:t xml:space="preserve">Osoba do kontaktu w sprawie ogłoszenia: Przemysław Pilaszek, </w:t>
      </w:r>
      <w:r>
        <w:rPr>
          <w:rFonts w:eastAsia="Century Gothic" w:cs="Century Gothic" w:ascii="Century Gothic" w:hAnsi="Century Gothic"/>
          <w:highlight w:val="white"/>
        </w:rPr>
        <w:t>+48 602 306 668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sz w:val="28"/>
          <w:szCs w:val="28"/>
        </w:rPr>
        <w:t>4. Kryterium oceny oferty</w:t>
      </w:r>
      <w:r>
        <w:rPr>
          <w:rFonts w:eastAsia="Century Gothic" w:cs="Century Gothic" w:ascii="Century Gothic" w:hAnsi="Century Gothic"/>
          <w:sz w:val="28"/>
          <w:szCs w:val="28"/>
        </w:rPr>
        <w:tab/>
      </w:r>
      <w:r>
        <w:rPr>
          <w:rFonts w:eastAsia="Century Gothic" w:cs="Century Gothic" w:ascii="Century Gothic" w:hAnsi="Century Gothic"/>
        </w:rPr>
        <w:tab/>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0"/>
        <w:jc w:val="both"/>
        <w:rPr>
          <w:rFonts w:ascii="Century Gothic" w:hAnsi="Century Gothic" w:eastAsia="Century Gothic" w:cs="Century Gothic"/>
        </w:rPr>
      </w:pPr>
      <w:r>
        <w:rPr>
          <w:rFonts w:eastAsia="Century Gothic" w:cs="Century Gothic" w:ascii="Century Gothic" w:hAnsi="Century Gothic"/>
        </w:rPr>
        <w:t xml:space="preserve">Cena netto najniższej oferty/cena netto oferty badanej x 100 % = ilość punktów </w:t>
      </w:r>
    </w:p>
    <w:p>
      <w:pPr>
        <w:pStyle w:val="Normal"/>
        <w:spacing w:lineRule="auto" w:line="240" w:before="0" w:after="0"/>
        <w:ind w:firstLine="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ab/>
        <w:tab/>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 najkorzystniejszą zostanie uznana oferta, która uzyska najwyższą ilość punktów.</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Jeżeli dwie lub więcej ofert otrzymają taką samą liczbę̨ punktów, zamawiający przeprowadzi z oferentami negocjacje cenowe i wybierze ofertę najkorzystniejszą cenowo.</w:t>
      </w:r>
    </w:p>
    <w:p>
      <w:pPr>
        <w:pStyle w:val="Normal"/>
        <w:shd w:val="clear" w:fill="FFFFFF"/>
        <w:spacing w:lineRule="auto" w:line="240" w:before="0" w:after="0"/>
        <w:ind w:hanging="0" w:left="81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720" w:left="714"/>
        <w:jc w:val="both"/>
        <w:rPr>
          <w:rFonts w:ascii="Century Gothic" w:hAnsi="Century Gothic" w:eastAsia="Century Gothic" w:cs="Century Gothic"/>
        </w:rPr>
      </w:pPr>
      <w:r>
        <w:rPr>
          <w:rFonts w:eastAsia="Century Gothic" w:cs="Century Gothic" w:ascii="Century Gothic" w:hAnsi="Century Gothic"/>
        </w:rPr>
      </w:r>
    </w:p>
    <w:p>
      <w:pPr>
        <w:pStyle w:val="Normal"/>
        <w:widowControl/>
        <w:bidi w:val="0"/>
        <w:spacing w:lineRule="auto" w:line="259" w:before="0" w:after="160"/>
        <w:jc w:val="left"/>
        <w:rPr/>
      </w:pPr>
      <w:r>
        <w:rPr/>
      </w:r>
    </w:p>
    <w:sectPr>
      <w:headerReference w:type="even" r:id="rId4"/>
      <w:headerReference w:type="default" r:id="rId5"/>
      <w:headerReference w:type="first" r:id="rId6"/>
      <w:type w:val="nextPage"/>
      <w:pgSz w:w="11906" w:h="16838"/>
      <w:pgMar w:left="1080" w:right="1080" w:gutter="0" w:header="454"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Century Gothic">
    <w:charset w:val="00"/>
    <w:family w:val="roman"/>
    <w:pitch w:val="variable"/>
  </w:font>
  <w:font w:name="Roboto">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1"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2"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0354e"/>
    <w:rPr/>
  </w:style>
  <w:style w:type="character" w:styleId="StopkaZnak" w:customStyle="1">
    <w:name w:val="Stopka Znak"/>
    <w:basedOn w:val="DefaultParagraphFont"/>
    <w:uiPriority w:val="99"/>
    <w:qFormat/>
    <w:rsid w:val="0050354e"/>
    <w:rPr/>
  </w:style>
  <w:style w:type="character" w:styleId="InternetLink">
    <w:name w:val="Internet Link"/>
    <w:basedOn w:val="DefaultParagraphFont"/>
    <w:uiPriority w:val="99"/>
    <w:unhideWhenUsed/>
    <w:qFormat/>
    <w:rsid w:val="00a024b7"/>
    <w:rPr>
      <w:color w:themeColor="hyperlink" w:val="0563C1"/>
      <w:u w:val="single"/>
    </w:rPr>
  </w:style>
  <w:style w:type="character" w:styleId="UnresolvedMention">
    <w:name w:val="Unresolved Mention"/>
    <w:basedOn w:val="DefaultParagraphFont"/>
    <w:uiPriority w:val="99"/>
    <w:semiHidden/>
    <w:unhideWhenUsed/>
    <w:qFormat/>
    <w:rsid w:val="00a024b7"/>
    <w:rPr>
      <w:color w:val="605E5C"/>
      <w:shd w:fill="E1DFDD" w:val="clear"/>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InternetLink10">
    <w:name w:val="Internet Link10"/>
    <w:qFormat/>
    <w:rPr>
      <w:color w:val="000080"/>
      <w:u w:val="single"/>
    </w:rPr>
  </w:style>
  <w:style w:type="character" w:styleId="InternetLink11">
    <w:name w:val="Internet Link11"/>
    <w:qFormat/>
    <w:rPr>
      <w:color w:val="000080"/>
      <w:u w:val="single"/>
    </w:rPr>
  </w:style>
  <w:style w:type="character" w:styleId="InternetLink12">
    <w:name w:val="Internet Link12"/>
    <w:qFormat/>
    <w:rPr>
      <w:color w:val="000080"/>
      <w:u w:val="single"/>
    </w:rPr>
  </w:style>
  <w:style w:type="character" w:styleId="InternetLink13">
    <w:name w:val="Internet Link13"/>
    <w:qFormat/>
    <w:rPr>
      <w:color w:val="000080"/>
      <w:u w:val="single"/>
    </w:rPr>
  </w:style>
  <w:style w:type="character" w:styleId="InternetLink14">
    <w:name w:val="Internet Link14"/>
    <w:qFormat/>
    <w:rPr>
      <w:color w:val="000080"/>
      <w:u w:val="single"/>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LO-normal"/>
    <w:next w:val="LO-normal"/>
    <w:uiPriority w:val="11"/>
    <w:qFormat/>
    <w:pPr>
      <w:keepNext w:val="true"/>
      <w:keepLines/>
      <w:pageBreakBefore w:val="false"/>
      <w:widowControl/>
      <w:shd w:val="clear" w:fill="auto"/>
      <w:spacing w:lineRule="auto" w:line="259"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Gwkaistopka">
    <w:name w:val="Główka i stopka"/>
    <w:basedOn w:val="Normal"/>
    <w:qFormat/>
    <w:pPr/>
    <w:rPr/>
  </w:style>
  <w:style w:type="paragraph" w:styleId="Header">
    <w:name w:val="Header"/>
    <w:basedOn w:val="Normal"/>
    <w:link w:val="NagwekZnak"/>
    <w:uiPriority w:val="99"/>
    <w:unhideWhenUsed/>
    <w:rsid w:val="0050354e"/>
    <w:pPr>
      <w:tabs>
        <w:tab w:val="clear" w:pos="720"/>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0354e"/>
    <w:pPr>
      <w:tabs>
        <w:tab w:val="clear" w:pos="720"/>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e6192"/>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qFormat/>
    <w:pPr>
      <w:spacing w:before="0" w:after="0"/>
      <w:ind w:left="720"/>
      <w:contextualSpacing/>
    </w:pPr>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a02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anty@fileclo.pl" TargetMode="External"/><Relationship Id="rId3" Type="http://schemas.openxmlformats.org/officeDocument/2006/relationships/hyperlink" Target="mailto:pilaszek@trimen.p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h1h7iopV8EGsYB/567DRFR7JZw==">CgMxLjAyDmgudHI3aTF2ZnZtMjdlMg5oLnR1czlhZnU3NjQzbjIJaC4xcHhlendjMgloLjFjaTkzeGIyCWguM3dod21sNDIJaC4yYm42d3N4MgloLjN6bnlzaDcyCGgudHlqY3d0OAByITFhbE1Kck8tcExXYTA2alRQUVJmOEw5dWlvdUdxeE0tRQ==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81</TotalTime>
  <Application>LibreOffice/24.2.4.2$Windows_X86_64 LibreOffice_project/51a6219feb6075d9a4c46691dcfe0cd9c4fff3c2</Application>
  <AppVersion>15.0000</AppVersion>
  <Pages>4</Pages>
  <Words>952</Words>
  <Characters>6676</Characters>
  <CharactersWithSpaces>7651</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2023-09-07T12:36:00Z</dcterms:created>
  <dc:creator>Katarzyna Waraksa</dc:creator>
  <dc:description/>
  <dc:language>pl-PL</dc:language>
  <cp:lastModifiedBy/>
  <dcterms:modified xsi:type="dcterms:W3CDTF">2025-12-22T12:52:02Z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