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eastAsia="Century Gothic" w:cs="Century Gothic"/>
        </w:rPr>
      </w:pPr>
      <w:r>
        <w:rPr/>
        <w:tab/>
        <w:t xml:space="preserve">                               </w:t>
        <w:tab/>
        <w:tab/>
        <w:tab/>
        <w:tab/>
        <w:tab/>
        <w:tab/>
      </w:r>
      <w:r>
        <w:rPr>
          <w:rFonts w:eastAsia="Century Gothic" w:cs="Century Gothic" w:ascii="Century Gothic" w:hAnsi="Century Gothic"/>
        </w:rPr>
        <w:t xml:space="preserve">Łódź, dn. </w:t>
      </w:r>
      <w:r>
        <w:rPr>
          <w:rFonts w:eastAsia="Century Gothic" w:cs="Century Gothic" w:ascii="Century Gothic" w:hAnsi="Century Gothic"/>
        </w:rPr>
        <w:t>26</w:t>
      </w:r>
      <w:r>
        <w:rPr>
          <w:rFonts w:eastAsia="Century Gothic" w:cs="Century Gothic" w:ascii="Century Gothic" w:hAnsi="Century Gothic"/>
        </w:rPr>
        <w:t>.1</w:t>
      </w:r>
      <w:r>
        <w:rPr>
          <w:rFonts w:eastAsia="Century Gothic" w:cs="Century Gothic" w:ascii="Century Gothic" w:hAnsi="Century Gothic"/>
        </w:rPr>
        <w:t>1</w:t>
      </w:r>
      <w:r>
        <w:rPr>
          <w:rFonts w:eastAsia="Century Gothic" w:cs="Century Gothic" w:ascii="Century Gothic" w:hAnsi="Century Gothic"/>
        </w:rPr>
        <w:t>.2025 r.</w:t>
      </w:r>
    </w:p>
    <w:p>
      <w:pPr>
        <w:pStyle w:val="Normal"/>
        <w:spacing w:lineRule="auto" w:line="240" w:before="0" w:after="320"/>
        <w:jc w:val="center"/>
        <w:rPr>
          <w:rFonts w:ascii="Century Gothic" w:hAnsi="Century Gothic" w:eastAsia="Century Gothic" w:cs="Century Gothic"/>
          <w:b/>
          <w:sz w:val="28"/>
          <w:szCs w:val="28"/>
        </w:rPr>
      </w:pPr>
      <w:r>
        <w:rPr>
          <w:rFonts w:eastAsia="Century Gothic" w:cs="Century Gothic" w:ascii="Century Gothic" w:hAnsi="Century Gothic"/>
          <w:b/>
          <w:sz w:val="28"/>
          <w:szCs w:val="28"/>
        </w:rPr>
        <w:t xml:space="preserve">Rozeznanie rynku nr </w:t>
      </w:r>
      <w:r>
        <w:rPr>
          <w:rFonts w:eastAsia="Roboto" w:cs="Roboto" w:ascii="Roboto" w:hAnsi="Roboto"/>
          <w:b/>
          <w:color w:val="1F1F1F"/>
          <w:sz w:val="28"/>
          <w:szCs w:val="28"/>
          <w:highlight w:val="white"/>
        </w:rPr>
        <w:t>52</w:t>
      </w:r>
      <w:r>
        <w:rPr>
          <w:rFonts w:eastAsia="Roboto" w:cs="Roboto" w:ascii="Roboto" w:hAnsi="Roboto"/>
          <w:b/>
          <w:color w:val="1F1F1F"/>
          <w:sz w:val="28"/>
          <w:szCs w:val="28"/>
          <w:highlight w:val="white"/>
        </w:rPr>
        <w:t>-25-rozpuszczalniki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color w:val="222222"/>
          <w:highlight w:val="white"/>
        </w:rPr>
        <w:t xml:space="preserve">Przedmiotem zamówienia jest dostawa odczynników </w:t>
      </w:r>
      <w:r>
        <w:rPr>
          <w:rFonts w:eastAsia="Century Gothic" w:cs="Century Gothic" w:ascii="Century Gothic" w:hAnsi="Century Gothic"/>
        </w:rPr>
        <w:t>na potrzeby realizacji Projektu komercyjnego w ramach Konkursu na rozwój medycyny celowanej lub personalizowanej na bazie produktów leczniczych opartych na kwasach nukleinowych i związkach drobnocząsteczkowych, dofinansowanego przez Agencję Badań Medycznych.</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rPr>
        <w:t>Zamawiający:</w:t>
      </w:r>
      <w:r>
        <w:rPr>
          <w:rFonts w:eastAsia="Century Gothic" w:cs="Century Gothic" w:ascii="Century Gothic" w:hAnsi="Century Gothic"/>
        </w:rPr>
        <w:t xml:space="preserve"> FiLeClo sp. z o.o., Al. Piłsudskiego 141, 92-318 Łódź, NIP 7282829858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sz w:val="28"/>
          <w:szCs w:val="28"/>
        </w:rPr>
      </w:pPr>
      <w:r>
        <w:rPr>
          <w:rFonts w:eastAsia="Century Gothic" w:cs="Century Gothic" w:ascii="Century Gothic" w:hAnsi="Century Gothic"/>
          <w:sz w:val="28"/>
          <w:szCs w:val="28"/>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Opis przedmiotu zamówienia</w:t>
      </w:r>
    </w:p>
    <w:p>
      <w:pPr>
        <w:pStyle w:val="Normal"/>
        <w:spacing w:lineRule="auto" w:line="240" w:before="0" w:after="0"/>
        <w:jc w:val="both"/>
        <w:rPr>
          <w:rFonts w:ascii="Century Gothic" w:hAnsi="Century Gothic" w:eastAsia="Century Gothic" w:cs="Century Gothic"/>
          <w:b/>
        </w:rPr>
      </w:pPr>
      <w:r>
        <w:rPr>
          <w:rFonts w:eastAsia="Century Gothic" w:cs="Century Gothic" w:ascii="Century Gothic" w:hAnsi="Century Gothic"/>
          <w:b/>
        </w:rPr>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t>Przedmiotem zamówienia jest dostawa odczynników z poniższego zestawienia :</w:t>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t xml:space="preserve">- </w:t>
      </w:r>
      <w:r>
        <w:rPr>
          <w:rFonts w:eastAsia="Century Gothic" w:cs="Century Gothic" w:ascii="Century Gothic" w:hAnsi="Century Gothic"/>
        </w:rPr>
        <w:t>chlorek metylenu : 180l (opakowania 20/45l)</w:t>
      </w:r>
    </w:p>
    <w:p>
      <w:pPr>
        <w:pStyle w:val="Normal"/>
        <w:spacing w:lineRule="auto" w:line="240" w:before="0" w:after="0"/>
        <w:jc w:val="both"/>
        <w:rPr>
          <w:rFonts w:ascii="Century Gothic" w:hAnsi="Century Gothic" w:eastAsia="Century Gothic" w:cs="Century Gothic"/>
        </w:rPr>
      </w:pPr>
      <w:r>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t>Warunkiem koniecznym jest również dostawa do dnia 9 grudnia na terenie Łodzi.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Warunki udziału w rozeznaniu</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r>
      <w:bookmarkStart w:id="0" w:name="_heading=h.tr7i1vfvm27e"/>
      <w:bookmarkStart w:id="1" w:name="_heading=h.tr7i1vfvm27e"/>
      <w:bookmarkEnd w:id="1"/>
    </w:p>
    <w:p>
      <w:pPr>
        <w:pStyle w:val="Normal"/>
        <w:spacing w:lineRule="auto" w:line="240" w:before="0" w:after="320"/>
        <w:jc w:val="both"/>
        <w:rPr>
          <w:rFonts w:ascii="Century Gothic" w:hAnsi="Century Gothic" w:eastAsia="Century Gothic" w:cs="Century Gothic"/>
          <w:b/>
        </w:rPr>
      </w:pPr>
      <w:bookmarkStart w:id="2" w:name="_heading=h.tus9afu7643n"/>
      <w:bookmarkEnd w:id="2"/>
      <w:r>
        <w:rPr>
          <w:rFonts w:eastAsia="Century Gothic" w:cs="Century Gothic" w:ascii="Century Gothic" w:hAnsi="Century Gothic"/>
          <w:b/>
        </w:rPr>
        <w:t>Sytuacja ekonomiczna i finansowa</w:t>
      </w:r>
    </w:p>
    <w:p>
      <w:pPr>
        <w:pStyle w:val="Normal"/>
        <w:spacing w:lineRule="auto" w:line="240" w:before="0" w:after="0"/>
        <w:jc w:val="both"/>
        <w:rPr>
          <w:rFonts w:ascii="Century Gothic" w:hAnsi="Century Gothic" w:eastAsia="Century Gothic" w:cs="Century Gothic"/>
        </w:rPr>
      </w:pPr>
      <w:bookmarkStart w:id="3" w:name="_heading=h.1pxezwc"/>
      <w:bookmarkEnd w:id="3"/>
      <w:r>
        <w:rPr>
          <w:rFonts w:eastAsia="Century Gothic" w:cs="Century Gothic" w:ascii="Century Gothic" w:hAnsi="Century Gothic"/>
        </w:rPr>
        <w:t>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r>
        <w:rPr>
          <w:rFonts w:eastAsia="Century Gothic" w:cs="Century Gothic" w:ascii="Century Gothic" w:hAnsi="Century Gothic"/>
          <w:b/>
        </w:rPr>
        <w:t>Dodatkowe warunki</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Zamawiający zastrzega sobie prawo do unieważnienia rozeznania bez podania przyczyny.</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przypadku unieważnienia rozeznania oferentom nie przysługuje roszczenie o zwrot kosztów uczestnictwa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Odstąpienie przez zamawiającego od zawarcia umowy w przypadku zawiadomienia oferenta o wyborze jego oferty nie może być podstawą roszczeń poniesionych kosztów udziału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toku dokonywania oceny złożonych ofert zamawiający może prosić o udzielenie przez oferentów wyjaśnień dotyczących treści złożonych przez nich dokumentów.</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Zamawiający zastrzega sobie prawo do negocjacji ofert z oferentem, którego oferta zdobyła największą liczbę punktów, zwłaszcza gdy cena oferowana przez oferenta przekracza budżet przeznaczony przez zamawiającego na realizację danego zamówienia. </w:t>
      </w:r>
    </w:p>
    <w:p>
      <w:pPr>
        <w:pStyle w:val="Normal"/>
        <w:widowControl w:val="false"/>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Ważność złożonej oferty przez okres 14 dni od upływu terminu składania ofert.</w:t>
      </w:r>
    </w:p>
    <w:p>
      <w:pPr>
        <w:pStyle w:val="Normal"/>
        <w:widowControl w:val="false"/>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320"/>
        <w:ind w:hanging="0" w:left="9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4" w:name="_heading=h.1ci93xb"/>
      <w:bookmarkEnd w:id="4"/>
      <w:r>
        <w:rPr>
          <w:rFonts w:eastAsia="Century Gothic" w:cs="Century Gothic" w:ascii="Century Gothic" w:hAnsi="Century Gothic"/>
          <w:b/>
        </w:rPr>
        <w:t>Warunki zmiany umowy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Zamawiający podpisze z wybranym oferentem umowę na realizację usługi w terminie nie dłuższym niż 14 dni od dnia zakończenia procedury wyboru. </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Zamawiający zastrzega sobie możliwość zmiany umowy zawartej z oferentem wybranym w wyniku niniejszego zapytania ofertowego, z następujących powodów:</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zmian regulacji prawnych obowiązujących w dniu podpisania umowy.</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5" w:name="_heading=h.3whwml4"/>
      <w:bookmarkEnd w:id="5"/>
      <w:r>
        <w:rPr>
          <w:rFonts w:eastAsia="Century Gothic" w:cs="Century Gothic" w:ascii="Century Gothic" w:hAnsi="Century Gothic"/>
          <w:b/>
        </w:rPr>
        <w:t>Lista dokumentów/oświadczeń wymaganych od Wykonawcy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Załącznik nr 1 – Formularz oferty </w:t>
      </w:r>
    </w:p>
    <w:p>
      <w:pPr>
        <w:pStyle w:val="Normal"/>
        <w:spacing w:lineRule="auto" w:line="240" w:before="0" w:after="320"/>
        <w:jc w:val="both"/>
        <w:rPr>
          <w:rFonts w:ascii="Century Gothic" w:hAnsi="Century Gothic" w:eastAsia="Century Gothic" w:cs="Century Gothic"/>
          <w:b/>
        </w:rPr>
      </w:pPr>
      <w:r>
        <w:rPr>
          <w:rFonts w:eastAsia="Century Gothic" w:cs="Century Gothic" w:ascii="Century Gothic" w:hAnsi="Century Gothic"/>
          <w:b/>
        </w:rPr>
        <w:t>Zamówienia uzupełniające</w:t>
      </w:r>
    </w:p>
    <w:p>
      <w:pPr>
        <w:pStyle w:val="Normal"/>
        <w:spacing w:lineRule="auto" w:line="240" w:before="0" w:after="320"/>
        <w:jc w:val="both"/>
        <w:rPr>
          <w:rFonts w:ascii="Century Gothic" w:hAnsi="Century Gothic" w:eastAsia="Century Gothic" w:cs="Century Gothic"/>
        </w:rPr>
      </w:pPr>
      <w:bookmarkStart w:id="6" w:name="_heading=h.2bn6wsx"/>
      <w:bookmarkEnd w:id="6"/>
      <w:r>
        <w:rPr>
          <w:rFonts w:eastAsia="Century Gothic" w:cs="Century Gothic" w:ascii="Century Gothic" w:hAnsi="Century Gothic"/>
        </w:rPr>
        <w:t>Możliwe jest składanie uzupełniających zamówień wybranemu oferentowi wyłącznie, jeśli są one zgodne z głównym celem tego zamówienia, o wartości nie przekraczającej 50% wartości niniejszego zamówienia.</w:t>
      </w:r>
    </w:p>
    <w:p>
      <w:pPr>
        <w:pStyle w:val="Normal"/>
        <w:spacing w:lineRule="auto" w:line="240" w:before="0" w:after="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r>
    </w:p>
    <w:p>
      <w:pPr>
        <w:pStyle w:val="Normal"/>
        <w:numPr>
          <w:ilvl w:val="0"/>
          <w:numId w:val="3"/>
        </w:numPr>
        <w:spacing w:lineRule="auto" w:line="276" w:before="0" w:after="0"/>
        <w:ind w:hanging="360" w:left="720"/>
        <w:jc w:val="both"/>
        <w:rPr>
          <w:rFonts w:ascii="Century Gothic" w:hAnsi="Century Gothic" w:eastAsia="Century Gothic" w:cs="Century Gothic"/>
          <w:b/>
          <w:sz w:val="28"/>
          <w:szCs w:val="28"/>
        </w:rPr>
      </w:pPr>
      <w:bookmarkStart w:id="7" w:name="_heading=h.3znysh7"/>
      <w:bookmarkEnd w:id="7"/>
      <w:r>
        <w:rPr>
          <w:rFonts w:eastAsia="Century Gothic" w:cs="Century Gothic" w:ascii="Century Gothic" w:hAnsi="Century Gothic"/>
          <w:b/>
          <w:sz w:val="28"/>
          <w:szCs w:val="28"/>
        </w:rPr>
        <w:t>Miejsce i sposób składania ofert</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Termin składania ofert: </w:t>
      </w:r>
      <w:r>
        <w:rPr>
          <w:rFonts w:eastAsia="Century Gothic" w:cs="Century Gothic" w:ascii="Century Gothic" w:hAnsi="Century Gothic"/>
        </w:rPr>
        <w:t>03</w:t>
      </w:r>
      <w:r>
        <w:rPr>
          <w:rFonts w:eastAsia="Century Gothic" w:cs="Century Gothic" w:ascii="Century Gothic" w:hAnsi="Century Gothic"/>
          <w:shd w:fill="FFFFFF" w:val="clear"/>
        </w:rPr>
        <w:t>.1</w:t>
      </w:r>
      <w:r>
        <w:rPr>
          <w:rFonts w:eastAsia="Century Gothic" w:cs="Century Gothic" w:ascii="Century Gothic" w:hAnsi="Century Gothic"/>
          <w:shd w:fill="FFFFFF" w:val="clear"/>
        </w:rPr>
        <w:t>2</w:t>
      </w:r>
      <w:r>
        <w:rPr>
          <w:rFonts w:eastAsia="Century Gothic" w:cs="Century Gothic" w:ascii="Century Gothic" w:hAnsi="Century Gothic"/>
          <w:shd w:fill="FFFFFF" w:val="clear"/>
        </w:rPr>
        <w:t>.2025 r.</w:t>
      </w:r>
      <w:r>
        <w:rPr>
          <w:rFonts w:eastAsia="Century Gothic" w:cs="Century Gothic" w:ascii="Century Gothic" w:hAnsi="Century Gothic"/>
        </w:rPr>
        <w:t xml:space="preserve"> Oferty złożone po terminie nie będą rozpatrywane.</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Ofertę wraz wymaganymi załącznikami należy składać w formie elektronicznej na adres mailowy: </w:t>
      </w:r>
      <w:hyperlink r:id="rId2">
        <w:r>
          <w:rPr>
            <w:rStyle w:val="Hyperlink"/>
            <w:rFonts w:eastAsia="Century Gothic" w:cs="Century Gothic" w:ascii="Century Gothic" w:hAnsi="Century Gothic"/>
            <w:color w:val="0000FF"/>
            <w:u w:val="single"/>
          </w:rPr>
          <w:t>granty@fileclo.pl</w:t>
        </w:r>
      </w:hyperlink>
      <w:r>
        <w:rPr>
          <w:rFonts w:eastAsia="Century Gothic" w:cs="Century Gothic" w:ascii="Century Gothic" w:hAnsi="Century Gothic"/>
        </w:rPr>
        <w:t xml:space="preserve"> lub </w:t>
      </w:r>
      <w:hyperlink r:id="rId3">
        <w:r>
          <w:rPr>
            <w:rStyle w:val="Hyperlink"/>
            <w:rFonts w:eastAsia="Century Gothic" w:cs="Century Gothic" w:ascii="Century Gothic" w:hAnsi="Century Gothic"/>
          </w:rPr>
          <w:t>pilaszek@trimen.pl</w:t>
        </w:r>
      </w:hyperlink>
      <w:r>
        <w:rPr>
          <w:rFonts w:eastAsia="Century Gothic" w:cs="Century Gothic" w:ascii="Century Gothic" w:hAnsi="Century Gothic"/>
        </w:rPr>
        <w:t xml:space="preserve"> W tytule wiadomości należy podać numer zapytania ofertowego tj. </w:t>
      </w:r>
      <w:r>
        <w:rPr>
          <w:rFonts w:eastAsia="Roboto" w:cs="Roboto" w:ascii="Roboto" w:hAnsi="Roboto"/>
          <w:b/>
          <w:color w:val="1F1F1F"/>
          <w:highlight w:val="white"/>
        </w:rPr>
        <w:t>52</w:t>
      </w:r>
      <w:r>
        <w:rPr>
          <w:rFonts w:eastAsia="Roboto" w:cs="Roboto" w:ascii="Roboto" w:hAnsi="Roboto"/>
          <w:b/>
          <w:color w:val="1F1F1F"/>
          <w:highlight w:val="white"/>
        </w:rPr>
        <w:t>-25-rozpuszczalniki</w:t>
      </w:r>
    </w:p>
    <w:p>
      <w:pPr>
        <w:pStyle w:val="Normal"/>
        <w:numPr>
          <w:ilvl w:val="0"/>
          <w:numId w:val="1"/>
        </w:numPr>
        <w:shd w:val="clear" w:fill="FFFFFF"/>
        <w:spacing w:lineRule="auto" w:line="276" w:before="0" w:after="220"/>
        <w:ind w:hanging="360" w:left="720"/>
        <w:jc w:val="both"/>
        <w:rPr>
          <w:rFonts w:ascii="Century Gothic" w:hAnsi="Century Gothic" w:eastAsia="Century Gothic" w:cs="Century Gothic"/>
        </w:rPr>
      </w:pPr>
      <w:bookmarkStart w:id="8" w:name="_heading=h.tyjcwt"/>
      <w:bookmarkEnd w:id="8"/>
      <w:r>
        <w:rPr>
          <w:rFonts w:eastAsia="Century Gothic" w:cs="Century Gothic" w:ascii="Century Gothic" w:hAnsi="Century Gothic"/>
        </w:rPr>
        <w:t xml:space="preserve">Osoba do kontaktu w sprawie ogłoszenia: Przemysław Pilaszek, </w:t>
      </w:r>
      <w:r>
        <w:rPr>
          <w:rFonts w:eastAsia="Century Gothic" w:cs="Century Gothic" w:ascii="Century Gothic" w:hAnsi="Century Gothic"/>
          <w:highlight w:val="white"/>
        </w:rPr>
        <w:t>+48 602 306 668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sz w:val="28"/>
          <w:szCs w:val="28"/>
        </w:rPr>
        <w:t>4. Kryterium oceny oferty</w:t>
      </w:r>
      <w:r>
        <w:rPr>
          <w:rFonts w:eastAsia="Century Gothic" w:cs="Century Gothic" w:ascii="Century Gothic" w:hAnsi="Century Gothic"/>
          <w:sz w:val="28"/>
          <w:szCs w:val="28"/>
        </w:rPr>
        <w:tab/>
      </w:r>
      <w:r>
        <w:rPr>
          <w:rFonts w:eastAsia="Century Gothic" w:cs="Century Gothic" w:ascii="Century Gothic" w:hAnsi="Century Gothic"/>
        </w:rPr>
        <w:tab/>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0"/>
        <w:jc w:val="both"/>
        <w:rPr>
          <w:rFonts w:ascii="Century Gothic" w:hAnsi="Century Gothic" w:eastAsia="Century Gothic" w:cs="Century Gothic"/>
        </w:rPr>
      </w:pPr>
      <w:r>
        <w:rPr>
          <w:rFonts w:eastAsia="Century Gothic" w:cs="Century Gothic" w:ascii="Century Gothic" w:hAnsi="Century Gothic"/>
        </w:rPr>
        <w:t xml:space="preserve">Cena netto najniższej oferty/cena netto oferty badanej x 100 % = ilość punktów </w:t>
      </w:r>
    </w:p>
    <w:p>
      <w:pPr>
        <w:pStyle w:val="Normal"/>
        <w:spacing w:lineRule="auto" w:line="240" w:before="0" w:after="0"/>
        <w:ind w:firstLine="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ab/>
        <w:tab/>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 najkorzystniejszą zostanie uznana oferta, która uzyska najwyższą ilość punktów.</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Jeżeli dwie lub więcej ofert otrzymają taką samą liczbę̨ punktów, zamawiający przeprowadzi z oferentami negocjacje cenowe i wybierze ofertę najkorzystniejszą cenowo.</w:t>
      </w:r>
    </w:p>
    <w:p>
      <w:pPr>
        <w:pStyle w:val="Normal"/>
        <w:shd w:val="clear" w:fill="FFFFFF"/>
        <w:spacing w:lineRule="auto" w:line="240" w:before="0" w:after="0"/>
        <w:ind w:hanging="0" w:left="81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720" w:left="714"/>
        <w:jc w:val="both"/>
        <w:rPr>
          <w:rFonts w:ascii="Century Gothic" w:hAnsi="Century Gothic" w:eastAsia="Century Gothic" w:cs="Century Gothic"/>
        </w:rPr>
      </w:pPr>
      <w:r>
        <w:rPr>
          <w:rFonts w:eastAsia="Century Gothic" w:cs="Century Gothic" w:ascii="Century Gothic" w:hAnsi="Century Gothic"/>
        </w:rPr>
      </w:r>
    </w:p>
    <w:p>
      <w:pPr>
        <w:pStyle w:val="Normal"/>
        <w:widowControl/>
        <w:bidi w:val="0"/>
        <w:spacing w:lineRule="auto" w:line="259" w:before="0" w:after="160"/>
        <w:jc w:val="left"/>
        <w:rPr/>
      </w:pPr>
      <w:r>
        <w:rPr/>
      </w:r>
    </w:p>
    <w:sectPr>
      <w:headerReference w:type="even" r:id="rId4"/>
      <w:headerReference w:type="default" r:id="rId5"/>
      <w:headerReference w:type="first" r:id="rId6"/>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Century Gothic">
    <w:charset w:val="00"/>
    <w:family w:val="roman"/>
    <w:pitch w:val="variable"/>
  </w:font>
  <w:font w:name="Robot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y@fileclo.pl" TargetMode="External"/><Relationship Id="rId3" Type="http://schemas.openxmlformats.org/officeDocument/2006/relationships/hyperlink" Target="mailto:pilaszek@trimen.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35</TotalTime>
  <Application>LibreOffice/24.2.4.2$Windows_X86_64 LibreOffice_project/51a6219feb6075d9a4c46691dcfe0cd9c4fff3c2</Application>
  <AppVersion>15.0000</AppVersion>
  <Pages>3</Pages>
  <Words>553</Words>
  <Characters>3754</Characters>
  <CharactersWithSpaces>4331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2025-11-26T14:41:00Z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