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entury Gothic" w:hAnsi="Century Gothic" w:eastAsia="Century Gothic" w:cs="Century Gothic"/>
        </w:rPr>
      </w:pPr>
      <w:r>
        <w:rPr/>
        <w:tab/>
        <w:t xml:space="preserve">                               </w:t>
        <w:tab/>
        <w:tab/>
        <w:tab/>
        <w:tab/>
        <w:tab/>
        <w:tab/>
      </w:r>
      <w:r>
        <w:rPr>
          <w:rFonts w:eastAsia="Century Gothic" w:cs="Century Gothic" w:ascii="Century Gothic" w:hAnsi="Century Gothic"/>
        </w:rPr>
        <w:t>Łódź, dn. 09.09.2025 r.</w:t>
      </w:r>
    </w:p>
    <w:p>
      <w:pPr>
        <w:pStyle w:val="Normal"/>
        <w:spacing w:lineRule="auto" w:line="240" w:before="0" w:after="320"/>
        <w:jc w:val="center"/>
        <w:rPr>
          <w:rFonts w:ascii="Century Gothic" w:hAnsi="Century Gothic" w:eastAsia="Century Gothic" w:cs="Century Gothic"/>
          <w:b/>
          <w:sz w:val="28"/>
          <w:szCs w:val="28"/>
        </w:rPr>
      </w:pPr>
      <w:r>
        <w:rPr>
          <w:rFonts w:eastAsia="Century Gothic" w:cs="Century Gothic" w:ascii="Century Gothic" w:hAnsi="Century Gothic"/>
          <w:b/>
          <w:sz w:val="28"/>
          <w:szCs w:val="28"/>
        </w:rPr>
        <w:t xml:space="preserve">Rozeznanie rynku nr </w:t>
      </w:r>
      <w:r>
        <w:rPr>
          <w:rFonts w:eastAsia="Roboto" w:cs="Roboto" w:ascii="Roboto" w:hAnsi="Roboto"/>
          <w:b/>
          <w:color w:val="1F1F1F"/>
          <w:sz w:val="28"/>
          <w:szCs w:val="28"/>
          <w:highlight w:val="white"/>
        </w:rPr>
        <w:t>44-25-</w:t>
      </w:r>
      <w:r>
        <w:rPr>
          <w:rFonts w:eastAsia="Century Gothic" w:cs="Century Gothic" w:ascii="Century Gothic" w:hAnsi="Century Gothic"/>
          <w:b/>
          <w:color w:val="1F1F1F"/>
          <w:sz w:val="28"/>
          <w:szCs w:val="28"/>
          <w:highlight w:val="white"/>
        </w:rPr>
        <w:t>produkcja</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color w:val="222222"/>
          <w:highlight w:val="white"/>
        </w:rPr>
        <w:t xml:space="preserve">Przedmiotem zamówienia </w:t>
      </w:r>
      <w:r>
        <w:rPr>
          <w:rFonts w:eastAsia="Century Gothic" w:cs="Century Gothic" w:ascii="Century Gothic" w:hAnsi="Century Gothic"/>
          <w:color w:val="222222"/>
          <w:highlight w:val="white"/>
        </w:rPr>
        <w:t xml:space="preserve">jest </w:t>
      </w:r>
      <w:r>
        <w:rPr>
          <w:rFonts w:eastAsia="Century Gothic" w:cs="Century Gothic" w:ascii="Century Gothic" w:hAnsi="Century Gothic"/>
          <w:color w:val="222222"/>
          <w:highlight w:val="white"/>
        </w:rPr>
        <w:t xml:space="preserve">wytworzenie substancji aktywnej </w:t>
      </w:r>
      <w:r>
        <w:rPr>
          <w:rFonts w:eastAsia="Century Gothic" w:cs="Century Gothic" w:ascii="Century Gothic" w:hAnsi="Century Gothic"/>
        </w:rPr>
        <w:t>na potrzeby realizacji Projektu komercyjnego w ramach Konkursu na rozwój medycyny celowanej lub personalizowanej na bazie produktów leczniczych opartych na kwasach nukleinowych i związkach drobnocząsteczkowych, dofinansowanego przez Agencję Badań Medycznych.</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b/>
        </w:rPr>
        <w:t>Zamawiający:</w:t>
      </w:r>
      <w:r>
        <w:rPr>
          <w:rFonts w:eastAsia="Century Gothic" w:cs="Century Gothic" w:ascii="Century Gothic" w:hAnsi="Century Gothic"/>
        </w:rPr>
        <w:t xml:space="preserve"> FiLeClo sp. z o.o., Al. Piłsudskiego 141, 92-318 Łódź, NIP 7282829858</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sz w:val="28"/>
          <w:szCs w:val="28"/>
        </w:rPr>
      </w:pPr>
      <w:r>
        <w:rPr>
          <w:rFonts w:eastAsia="Century Gothic" w:cs="Century Gothic" w:ascii="Century Gothic" w:hAnsi="Century Gothic"/>
          <w:sz w:val="28"/>
          <w:szCs w:val="28"/>
        </w:rPr>
      </w:r>
    </w:p>
    <w:p>
      <w:pPr>
        <w:pStyle w:val="Normal"/>
        <w:numPr>
          <w:ilvl w:val="0"/>
          <w:numId w:val="3"/>
        </w:numPr>
        <w:spacing w:lineRule="auto" w:line="240" w:before="0" w:after="0"/>
        <w:ind w:hanging="360" w:left="72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t>Opis przedmiotu zamówienia</w:t>
      </w:r>
    </w:p>
    <w:p>
      <w:pPr>
        <w:pStyle w:val="Normal"/>
        <w:spacing w:lineRule="auto" w:line="240" w:before="0" w:after="0"/>
        <w:jc w:val="both"/>
        <w:rPr>
          <w:rFonts w:ascii="Century Gothic" w:hAnsi="Century Gothic" w:eastAsia="Century Gothic" w:cs="Century Gothic"/>
          <w:b/>
        </w:rPr>
      </w:pPr>
      <w:r>
        <w:rPr>
          <w:rFonts w:eastAsia="Century Gothic" w:cs="Century Gothic" w:ascii="Century Gothic" w:hAnsi="Century Gothic"/>
          <w:b/>
        </w:rPr>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Zapraszamy wszystkie podmioty spełniające określone poniżej warunki, do składania ofert na wytworzenie, zgodnie z wymaganiami Dobrej Praktyki Wytwarzania, substancji aktywnej FLC-436Na i badanego produktu leczniczego w postaci kapsułek zawierających substancję aktywną FLC-436Na przeznaczonego do badania klinicznego.</w:t>
      </w:r>
    </w:p>
    <w:p>
      <w:pPr>
        <w:pStyle w:val="Normal"/>
        <w:spacing w:lineRule="auto" w:line="240" w:before="0" w:after="0"/>
        <w:jc w:val="both"/>
        <w:rPr/>
      </w:pPr>
      <w:r>
        <w:rPr/>
      </w:r>
    </w:p>
    <w:p>
      <w:pPr>
        <w:pStyle w:val="Normal"/>
        <w:spacing w:lineRule="auto" w:line="240" w:before="0" w:after="0"/>
        <w:jc w:val="both"/>
        <w:rPr>
          <w:b/>
          <w:bCs/>
        </w:rPr>
      </w:pPr>
      <w:r>
        <w:rPr>
          <w:rFonts w:eastAsia="Century Gothic" w:cs="Calibri" w:ascii="Century Gothic" w:hAnsi="Century Gothic" w:cstheme="minorHAnsi"/>
          <w:b/>
          <w:bCs/>
          <w:color w:val="222222"/>
          <w:highlight w:val="white"/>
          <w:shd w:fill="FFFFFF" w:val="clear"/>
        </w:rPr>
        <w:t>Zamawiający planuje:</w:t>
      </w:r>
    </w:p>
    <w:p>
      <w:pPr>
        <w:pStyle w:val="Normal"/>
        <w:spacing w:lineRule="auto" w:line="240" w:before="0" w:after="0"/>
        <w:jc w:val="both"/>
        <w:rPr/>
      </w:pPr>
      <w:r>
        <w:rPr/>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 xml:space="preserve">    </w:t>
      </w:r>
      <w:r>
        <w:rPr>
          <w:rFonts w:eastAsia="Century Gothic" w:cs="Calibri" w:ascii="Century Gothic" w:hAnsi="Century Gothic" w:cstheme="minorHAnsi"/>
          <w:b w:val="false"/>
          <w:bCs w:val="false"/>
          <w:color w:val="222222"/>
          <w:highlight w:val="white"/>
          <w:shd w:fill="FFFFFF" w:val="clear"/>
        </w:rPr>
        <w:tab/>
        <w:t>a) przeprowadzenie badania klinicznego fazy I/II na populacji pacjentów onkologicznych</w:t>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 xml:space="preserve">    </w:t>
      </w:r>
      <w:r>
        <w:rPr>
          <w:rFonts w:eastAsia="Century Gothic" w:cs="Calibri" w:ascii="Century Gothic" w:hAnsi="Century Gothic" w:cstheme="minorHAnsi"/>
          <w:b w:val="false"/>
          <w:bCs w:val="false"/>
          <w:color w:val="222222"/>
          <w:highlight w:val="white"/>
          <w:shd w:fill="FFFFFF" w:val="clear"/>
        </w:rPr>
        <w:tab/>
        <w:t>b) przeprowadzenie badania klinicznego w ośrodkach znajdujących się na terenie Unii Europejskiej (istnieje wysokie prawdopodobieństwo, że do badania klinicznego zostaną włączone ośrodki wyłącznie na terenie Polski)</w:t>
      </w:r>
    </w:p>
    <w:p>
      <w:pPr>
        <w:pStyle w:val="Normal"/>
        <w:spacing w:lineRule="auto" w:line="240" w:before="0" w:after="0"/>
        <w:jc w:val="both"/>
        <w:rPr/>
      </w:pPr>
      <w:r>
        <w:rPr/>
      </w:r>
    </w:p>
    <w:p>
      <w:pPr>
        <w:pStyle w:val="Normal"/>
        <w:spacing w:lineRule="auto" w:line="240" w:before="0" w:after="0"/>
        <w:jc w:val="both"/>
        <w:rPr>
          <w:b/>
          <w:bCs/>
        </w:rPr>
      </w:pPr>
      <w:r>
        <w:rPr>
          <w:rFonts w:eastAsia="Century Gothic" w:cs="Calibri" w:ascii="Century Gothic" w:hAnsi="Century Gothic" w:cstheme="minorHAnsi"/>
          <w:b/>
          <w:bCs/>
          <w:color w:val="222222"/>
          <w:highlight w:val="white"/>
          <w:shd w:fill="FFFFFF" w:val="clear"/>
        </w:rPr>
        <w:t>Zamówienie obejmuje:</w:t>
      </w:r>
    </w:p>
    <w:p>
      <w:pPr>
        <w:pStyle w:val="Normal"/>
        <w:spacing w:lineRule="auto" w:line="240" w:before="0" w:after="0"/>
        <w:jc w:val="both"/>
        <w:rPr/>
      </w:pPr>
      <w:r>
        <w:rPr/>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 xml:space="preserve">    </w:t>
      </w:r>
      <w:r>
        <w:rPr>
          <w:rFonts w:eastAsia="Century Gothic" w:cs="Calibri" w:ascii="Century Gothic" w:hAnsi="Century Gothic" w:cstheme="minorHAnsi"/>
          <w:b w:val="false"/>
          <w:bCs w:val="false"/>
          <w:color w:val="222222"/>
          <w:highlight w:val="white"/>
          <w:shd w:fill="FFFFFF" w:val="clear"/>
        </w:rPr>
        <w:tab/>
        <w:t>a) wytworzenie i zwolnienie substancji aktywnej FLC-436Na zgodnie z wymaganiami Dobrej Praktyki Wytwarzania</w:t>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 xml:space="preserve">    </w:t>
      </w:r>
      <w:r>
        <w:rPr>
          <w:rFonts w:eastAsia="Century Gothic" w:cs="Calibri" w:ascii="Century Gothic" w:hAnsi="Century Gothic" w:cstheme="minorHAnsi"/>
          <w:b w:val="false"/>
          <w:bCs w:val="false"/>
          <w:color w:val="222222"/>
          <w:highlight w:val="white"/>
          <w:shd w:fill="FFFFFF" w:val="clear"/>
        </w:rPr>
        <w:tab/>
        <w:t>b) wytworzenie i zwolnienie badanego produktu leczniczego zawierającego substancję badaną FLC-436Na, w postaci kapsułek, w dwóch dawkach, zgodnie z wymaganiami Dobrej Praktyki Wytwarzania, na potrzeby badania klinicznego oraz przesłanie badanego produktu leczniczego w warunkach kontrolowanych za pośrednictwem wyspecjalizowanej firmy kurierskiej do magazynu centralnego na terenie EU (jeśli zasadne) i przechowywanie w warunkach kontrolowanych przez okres 2 lat</w:t>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 xml:space="preserve">    </w:t>
      </w:r>
      <w:r>
        <w:rPr>
          <w:rFonts w:eastAsia="Century Gothic" w:cs="Calibri" w:ascii="Century Gothic" w:hAnsi="Century Gothic" w:cstheme="minorHAnsi"/>
          <w:b w:val="false"/>
          <w:bCs w:val="false"/>
          <w:color w:val="222222"/>
          <w:highlight w:val="white"/>
          <w:shd w:fill="FFFFFF" w:val="clear"/>
        </w:rPr>
        <w:tab/>
        <w:t>c) przeprowadzenie audytu GMP miejsc wytwarzania substancji czynnej i badanego produktu leczniczego</w:t>
      </w:r>
    </w:p>
    <w:p>
      <w:pPr>
        <w:pStyle w:val="Normal"/>
        <w:spacing w:lineRule="auto" w:line="240" w:before="0" w:after="0"/>
        <w:jc w:val="both"/>
        <w:rPr/>
      </w:pPr>
      <w:r>
        <w:rPr/>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Szczegółowy opis przedmiotu zamówienia oraz informacje niezbędne do przygotowania oferty zostały przedstawione w Załączniku nr 1 pt. Pakiet Informacji Technicznych. Dokument zostanie udostępniony Wykonawcom, którzy wyrażą swoje zainteresowanie udziałem w postępowaniu i prześlą drogą elektroniczną skan podpisanej umowy o zachowaniu poufności stanowiącej Załącznik nr 2 do niniejszego Zapytania ofertowego, a następnie prześlą podpisaną umowę o zachowaniu poufności na adres: al. Piłsudskiego 141, 92-318 Łódź albo prześlą drogą elektroniczną umowę podpisaną kwalifikowanym podpisem elektronicznym. Skan podpisanej umowy o zachowaniu poufności (Załącznik nr 2) lub umowę o zachowaniu poufności (Załącznik nr 2) podpisaną kwalifikowanym podpisem elektronicznym należy przesłać drogą elektroniczną na adres e-mail: granty@fileclo.pl</w:t>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Załącznik nr 1 (Pakiet Informacji Technicznych) zostanie udostępniony zainteresowanym Wykonawcom nie później niż w ciągu 48 godzin po wpłynięciu skanu wypełnionego i podpisanego Załącznika nr 2 (Umowa o zachowaniu poufności).</w:t>
      </w:r>
    </w:p>
    <w:p>
      <w:pPr>
        <w:pStyle w:val="Normal"/>
        <w:spacing w:lineRule="auto" w:line="240" w:before="0" w:after="0"/>
        <w:jc w:val="both"/>
        <w:rPr/>
      </w:pPr>
      <w:r>
        <w:rPr/>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W przypadku, kiedy Oferent podpisał umowę o zachowaniu poufności na etapie Szacowania całkowitej wartości zamówienia, ponowne podpisanie Załącznika nr 2 nie jest wymagane, a Załącznik nr 1 (Pakiet Informacji Technicznych) zostanie udostępniony w ciągu 48 godzin od pisemnego zgłoszenia zainteresowania udziałem w postępowaniu nr 44-25-produkcja</w:t>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b/>
          <w:bCs/>
        </w:rPr>
      </w:pPr>
      <w:r>
        <w:rPr>
          <w:rFonts w:eastAsia="Century Gothic" w:cs="Calibri" w:ascii="Century Gothic" w:hAnsi="Century Gothic" w:cstheme="minorHAnsi"/>
          <w:b/>
          <w:bCs/>
          <w:color w:val="222222"/>
          <w:highlight w:val="white"/>
          <w:shd w:fill="FFFFFF" w:val="clear"/>
        </w:rPr>
        <w:t>Od Wykonawcy wymaga się:</w:t>
      </w:r>
    </w:p>
    <w:p>
      <w:pPr>
        <w:pStyle w:val="Normal"/>
        <w:spacing w:lineRule="auto" w:line="240" w:before="0" w:after="0"/>
        <w:jc w:val="both"/>
        <w:rPr/>
      </w:pPr>
      <w:r>
        <w:rPr/>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 xml:space="preserve">    </w:t>
      </w:r>
      <w:r>
        <w:rPr>
          <w:rFonts w:eastAsia="Century Gothic" w:cs="Calibri" w:ascii="Century Gothic" w:hAnsi="Century Gothic" w:cstheme="minorHAnsi"/>
          <w:b w:val="false"/>
          <w:bCs w:val="false"/>
          <w:color w:val="222222"/>
          <w:highlight w:val="white"/>
          <w:shd w:fill="FFFFFF" w:val="clear"/>
        </w:rPr>
        <w:tab/>
        <w:t>a) Wykonania zlecenia jako kompleksowej usługi obejmującej wszystkie elementy wymienione w zapytaniu ofertowym oraz w Załączniku nr 1</w:t>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 xml:space="preserve">    </w:t>
      </w:r>
      <w:r>
        <w:rPr>
          <w:rFonts w:eastAsia="Century Gothic" w:cs="Calibri" w:ascii="Century Gothic" w:hAnsi="Century Gothic" w:cstheme="minorHAnsi"/>
          <w:b w:val="false"/>
          <w:bCs w:val="false"/>
          <w:color w:val="222222"/>
          <w:highlight w:val="white"/>
          <w:shd w:fill="FFFFFF" w:val="clear"/>
        </w:rPr>
        <w:tab/>
        <w:t>b) Posiadania odpowiednich zezwoleń na wytwarzanie substancji czynnych i badanego produktu leczniczego przeznaczonych do przeprowadzenia badań klinicznych wczesnych faz</w:t>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 xml:space="preserve">    </w:t>
      </w:r>
      <w:r>
        <w:rPr>
          <w:rFonts w:eastAsia="Century Gothic" w:cs="Calibri" w:ascii="Century Gothic" w:hAnsi="Century Gothic" w:cstheme="minorHAnsi"/>
          <w:b w:val="false"/>
          <w:bCs w:val="false"/>
          <w:color w:val="222222"/>
          <w:highlight w:val="white"/>
          <w:shd w:fill="FFFFFF" w:val="clear"/>
        </w:rPr>
        <w:tab/>
        <w:t>c) Oddelegowania do realizacji projektu zespołu specjalistów posiadających niezbędną wiedzę i udokumentowane doświadczenie w realizacji analogicznych projektów.</w:t>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 xml:space="preserve">    </w:t>
      </w:r>
      <w:r>
        <w:rPr>
          <w:rFonts w:eastAsia="Century Gothic" w:cs="Calibri" w:ascii="Century Gothic" w:hAnsi="Century Gothic" w:cstheme="minorHAnsi"/>
          <w:b w:val="false"/>
          <w:bCs w:val="false"/>
          <w:color w:val="222222"/>
          <w:highlight w:val="white"/>
          <w:shd w:fill="FFFFFF" w:val="clear"/>
        </w:rPr>
        <w:tab/>
        <w:t>d) Organizowania regularnych spotkań projektowych w celu omawiania postępu prac (częstotliwość: przynajmniej co dwa tygodnie).</w:t>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 xml:space="preserve">    </w:t>
      </w:r>
      <w:r>
        <w:rPr>
          <w:rFonts w:eastAsia="Century Gothic" w:cs="Calibri" w:ascii="Century Gothic" w:hAnsi="Century Gothic" w:cstheme="minorHAnsi"/>
          <w:b w:val="false"/>
          <w:bCs w:val="false"/>
          <w:color w:val="222222"/>
          <w:highlight w:val="white"/>
          <w:shd w:fill="FFFFFF" w:val="clear"/>
        </w:rPr>
        <w:tab/>
        <w:t>e) Przygotowania wszystkich dokumentów związanych z realizacją projektu w języku angielskim.</w:t>
      </w:r>
    </w:p>
    <w:p>
      <w:pPr>
        <w:pStyle w:val="Normal"/>
        <w:spacing w:lineRule="auto" w:line="240" w:before="0" w:after="0"/>
        <w:jc w:val="both"/>
        <w:rPr/>
      </w:pPr>
      <w:r>
        <w:rPr/>
      </w:r>
    </w:p>
    <w:p>
      <w:pPr>
        <w:pStyle w:val="Normal"/>
        <w:spacing w:lineRule="auto" w:line="240" w:before="0" w:after="0"/>
        <w:jc w:val="both"/>
        <w:rPr>
          <w:b/>
          <w:bCs/>
        </w:rPr>
      </w:pPr>
      <w:r>
        <w:rPr>
          <w:rFonts w:eastAsia="Century Gothic" w:cs="Calibri" w:ascii="Century Gothic" w:hAnsi="Century Gothic" w:cstheme="minorHAnsi"/>
          <w:b/>
          <w:bCs/>
          <w:color w:val="222222"/>
          <w:highlight w:val="white"/>
          <w:shd w:fill="FFFFFF" w:val="clear"/>
        </w:rPr>
        <w:t>Na potrzeby realizacji zamówienia Zamawiający dostarczy Wykonawcy:</w:t>
      </w:r>
    </w:p>
    <w:p>
      <w:pPr>
        <w:pStyle w:val="Normal"/>
        <w:spacing w:lineRule="auto" w:line="240" w:before="0" w:after="0"/>
        <w:jc w:val="both"/>
        <w:rPr/>
      </w:pPr>
      <w:r>
        <w:rPr/>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 xml:space="preserve">    </w:t>
      </w:r>
      <w:r>
        <w:rPr>
          <w:rFonts w:eastAsia="Century Gothic" w:cs="Calibri" w:ascii="Century Gothic" w:hAnsi="Century Gothic" w:cstheme="minorHAnsi"/>
          <w:b w:val="false"/>
          <w:bCs w:val="false"/>
          <w:color w:val="222222"/>
          <w:highlight w:val="white"/>
          <w:shd w:fill="FFFFFF" w:val="clear"/>
        </w:rPr>
        <w:tab/>
        <w:t>a) Materiał wyjściowy w ilości i jakości niezbędnej do realizacji przedmiotu zamówienia (wytworzenie substancji aktywnej FLC-436Na w standardzie GMP)</w:t>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 xml:space="preserve">    </w:t>
      </w:r>
      <w:r>
        <w:rPr>
          <w:rFonts w:eastAsia="Century Gothic" w:cs="Calibri" w:ascii="Century Gothic" w:hAnsi="Century Gothic" w:cstheme="minorHAnsi"/>
          <w:b w:val="false"/>
          <w:bCs w:val="false"/>
          <w:color w:val="222222"/>
          <w:highlight w:val="white"/>
          <w:shd w:fill="FFFFFF" w:val="clear"/>
        </w:rPr>
        <w:tab/>
        <w:t>b) Wszelkie niezbędne informacje dotyczące materiału wyjściowego i substancji aktywnej FLC-436Na, wzorca substancji czynnej, wzorców zanieczyszczeń.</w:t>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 xml:space="preserve">   </w:t>
      </w:r>
      <w:r>
        <w:rPr>
          <w:rFonts w:eastAsia="Century Gothic" w:cs="Calibri" w:ascii="Century Gothic" w:hAnsi="Century Gothic" w:cstheme="minorHAnsi"/>
          <w:b w:val="false"/>
          <w:bCs w:val="false"/>
          <w:color w:val="222222"/>
          <w:highlight w:val="white"/>
          <w:shd w:fill="FFFFFF" w:val="clear"/>
        </w:rPr>
        <w:tab/>
        <w:t>c) Kartę charakterystyki (MSDS) materiału wyjściowego i substancji aktywnej FLC-436Na.</w:t>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 xml:space="preserve">   </w:t>
      </w:r>
      <w:r>
        <w:rPr>
          <w:rFonts w:eastAsia="Century Gothic" w:cs="Calibri" w:ascii="Century Gothic" w:hAnsi="Century Gothic" w:cstheme="minorHAnsi"/>
          <w:b w:val="false"/>
          <w:bCs w:val="false"/>
          <w:color w:val="222222"/>
          <w:highlight w:val="white"/>
          <w:shd w:fill="FFFFFF" w:val="clear"/>
        </w:rPr>
        <w:tab/>
        <w:t>d) Szczegółowy opis metod analitycznych dla substancji aktywnej FLC-436Na.</w:t>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 xml:space="preserve">    </w:t>
      </w:r>
      <w:r>
        <w:rPr>
          <w:rFonts w:eastAsia="Century Gothic" w:cs="Calibri" w:ascii="Century Gothic" w:hAnsi="Century Gothic" w:cstheme="minorHAnsi"/>
          <w:b w:val="false"/>
          <w:bCs w:val="false"/>
          <w:color w:val="222222"/>
          <w:highlight w:val="white"/>
          <w:shd w:fill="FFFFFF" w:val="clear"/>
        </w:rPr>
        <w:tab/>
        <w:t xml:space="preserve">e) Szczegółowy opis metod analitycznych dla badanego produktu leczniczego  </w:t>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 xml:space="preserve">    </w:t>
      </w:r>
      <w:r>
        <w:rPr>
          <w:rFonts w:eastAsia="Century Gothic" w:cs="Calibri" w:ascii="Century Gothic" w:hAnsi="Century Gothic" w:cstheme="minorHAnsi"/>
          <w:b w:val="false"/>
          <w:bCs w:val="false"/>
          <w:color w:val="222222"/>
          <w:highlight w:val="white"/>
          <w:shd w:fill="FFFFFF" w:val="clear"/>
        </w:rPr>
        <w:tab/>
        <w:t xml:space="preserve">f) Raport z rozwoju formulacji badanego produktu leczniczego </w:t>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 xml:space="preserve">    </w:t>
      </w:r>
      <w:r>
        <w:rPr>
          <w:rFonts w:eastAsia="Century Gothic" w:cs="Calibri" w:ascii="Century Gothic" w:hAnsi="Century Gothic" w:cstheme="minorHAnsi"/>
          <w:b w:val="false"/>
          <w:bCs w:val="false"/>
          <w:color w:val="222222"/>
          <w:highlight w:val="white"/>
          <w:shd w:fill="FFFFFF" w:val="clear"/>
        </w:rPr>
        <w:tab/>
        <w:t>g) Wzorzec substancji aktywnej oraz wzorce substancji pokrewnych wraz z odpowiednią dokumentacją (jeśli to zasadne).</w:t>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 xml:space="preserve">    </w:t>
      </w:r>
      <w:r>
        <w:rPr>
          <w:rFonts w:eastAsia="Century Gothic" w:cs="Calibri" w:ascii="Century Gothic" w:hAnsi="Century Gothic" w:cstheme="minorHAnsi"/>
          <w:b w:val="false"/>
          <w:bCs w:val="false"/>
          <w:color w:val="222222"/>
          <w:highlight w:val="white"/>
          <w:shd w:fill="FFFFFF" w:val="clear"/>
        </w:rPr>
        <w:tab/>
        <w:t>h) Dokładny adres dostawy materiału do badań klinicznych, wraz z danymi osoby kontaktowej (bezpośredni numer telefonu, adres e-mail).</w:t>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b/>
          <w:bCs/>
        </w:rPr>
      </w:pPr>
      <w:r>
        <w:rPr>
          <w:rFonts w:eastAsia="Century Gothic" w:cs="Calibri" w:ascii="Century Gothic" w:hAnsi="Century Gothic" w:cstheme="minorHAnsi"/>
          <w:b/>
          <w:bCs/>
          <w:color w:val="222222"/>
          <w:highlight w:val="white"/>
          <w:shd w:fill="FFFFFF" w:val="clear"/>
        </w:rPr>
        <w:t>Terminy:</w:t>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 xml:space="preserve">   </w:t>
      </w:r>
      <w:r>
        <w:rPr>
          <w:rFonts w:eastAsia="Century Gothic" w:cs="Calibri" w:ascii="Century Gothic" w:hAnsi="Century Gothic" w:cstheme="minorHAnsi"/>
          <w:b w:val="false"/>
          <w:bCs w:val="false"/>
          <w:color w:val="222222"/>
          <w:highlight w:val="white"/>
          <w:shd w:fill="FFFFFF" w:val="clear"/>
        </w:rPr>
        <w:tab/>
        <w:t>a) Termin składania ofert: 19.09.2025</w:t>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 xml:space="preserve">   </w:t>
      </w:r>
      <w:r>
        <w:rPr>
          <w:rFonts w:eastAsia="Century Gothic" w:cs="Calibri" w:ascii="Century Gothic" w:hAnsi="Century Gothic" w:cstheme="minorHAnsi"/>
          <w:b w:val="false"/>
          <w:bCs w:val="false"/>
          <w:color w:val="222222"/>
          <w:highlight w:val="white"/>
          <w:shd w:fill="FFFFFF" w:val="clear"/>
        </w:rPr>
        <w:tab/>
        <w:t>b) Planowany termin podpisania umowy i złożenia zamówienia: wrzesień 2025</w:t>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ab/>
        <w:t>c) Zwolnienie substancji aktywnej FLC-436Na: czerwiec 2026</w:t>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 xml:space="preserve">    </w:t>
      </w:r>
      <w:r>
        <w:rPr>
          <w:rFonts w:eastAsia="Century Gothic" w:cs="Calibri" w:ascii="Century Gothic" w:hAnsi="Century Gothic" w:cstheme="minorHAnsi"/>
          <w:b w:val="false"/>
          <w:bCs w:val="false"/>
          <w:color w:val="222222"/>
          <w:highlight w:val="white"/>
          <w:shd w:fill="FFFFFF" w:val="clear"/>
        </w:rPr>
        <w:tab/>
        <w:t>d) Zwolnienie badanego produktu leczniczego i rozpoczęcie badań stabilności : luty 2026</w:t>
      </w:r>
    </w:p>
    <w:p>
      <w:pPr>
        <w:pStyle w:val="Normal"/>
        <w:spacing w:lineRule="auto" w:line="240" w:before="0" w:after="0"/>
        <w:jc w:val="both"/>
        <w:rPr/>
      </w:pPr>
      <w:r>
        <w:rPr>
          <w:rFonts w:eastAsia="Century Gothic" w:cs="Calibri" w:ascii="Century Gothic" w:hAnsi="Century Gothic" w:cstheme="minorHAnsi"/>
          <w:b w:val="false"/>
          <w:bCs w:val="false"/>
          <w:color w:val="222222"/>
          <w:highlight w:val="white"/>
          <w:shd w:fill="FFFFFF" w:val="clear"/>
        </w:rPr>
        <w:t xml:space="preserve">    </w:t>
      </w:r>
      <w:r>
        <w:rPr>
          <w:rFonts w:eastAsia="Century Gothic" w:cs="Calibri" w:ascii="Century Gothic" w:hAnsi="Century Gothic" w:cstheme="minorHAnsi"/>
          <w:b w:val="false"/>
          <w:bCs w:val="false"/>
          <w:color w:val="222222"/>
          <w:highlight w:val="white"/>
          <w:shd w:fill="FFFFFF" w:val="clear"/>
        </w:rPr>
        <w:tab/>
        <w:t>e) Przesłanie badanego produktu leczniczego do magazynu centralnego GMP na terenie EU: marzec 2026</w:t>
      </w:r>
    </w:p>
    <w:p>
      <w:pPr>
        <w:pStyle w:val="BodyText"/>
        <w:spacing w:before="0" w:after="0"/>
        <w:ind w:hanging="0" w:left="0" w:right="0"/>
        <w:rPr>
          <w:highlight w:val="none"/>
          <w:shd w:fill="FFFFFF" w:val="clear"/>
        </w:rPr>
      </w:pPr>
      <w:r>
        <w:rPr>
          <w:shd w:fill="FFFFFF" w:val="clear"/>
        </w:rPr>
      </w:r>
    </w:p>
    <w:p>
      <w:pPr>
        <w:pStyle w:val="Normal"/>
        <w:numPr>
          <w:ilvl w:val="0"/>
          <w:numId w:val="3"/>
        </w:numPr>
        <w:spacing w:lineRule="auto" w:line="240" w:before="0" w:after="0"/>
        <w:ind w:hanging="360" w:left="72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t>Warunki udziału w rozeznaniu</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r>
      <w:bookmarkStart w:id="0" w:name="_heading=h.tr7i1vfvm27e"/>
      <w:bookmarkStart w:id="1" w:name="_heading=h.tr7i1vfvm27e"/>
      <w:bookmarkEnd w:id="1"/>
    </w:p>
    <w:p>
      <w:pPr>
        <w:pStyle w:val="Normal"/>
        <w:spacing w:lineRule="auto" w:line="240" w:before="0" w:after="320"/>
        <w:jc w:val="both"/>
        <w:rPr>
          <w:rFonts w:ascii="Century Gothic" w:hAnsi="Century Gothic" w:eastAsia="Century Gothic" w:cs="Century Gothic"/>
          <w:b/>
        </w:rPr>
      </w:pPr>
      <w:bookmarkStart w:id="2" w:name="_heading=h.tus9afu7643n"/>
      <w:bookmarkEnd w:id="2"/>
      <w:r>
        <w:rPr>
          <w:rFonts w:eastAsia="Century Gothic" w:cs="Century Gothic" w:ascii="Century Gothic" w:hAnsi="Century Gothic"/>
          <w:b/>
        </w:rPr>
        <w:t>Sytuacja ekonomiczna i finansowa</w:t>
      </w:r>
    </w:p>
    <w:p>
      <w:pPr>
        <w:pStyle w:val="Normal"/>
        <w:spacing w:lineRule="auto" w:line="240" w:before="0" w:after="0"/>
        <w:jc w:val="both"/>
        <w:rPr>
          <w:rFonts w:ascii="Century Gothic" w:hAnsi="Century Gothic" w:eastAsia="Century Gothic" w:cs="Century Gothic"/>
        </w:rPr>
      </w:pPr>
      <w:bookmarkStart w:id="3" w:name="_heading=h.1pxezwc"/>
      <w:bookmarkEnd w:id="3"/>
      <w:r>
        <w:rPr>
          <w:rFonts w:eastAsia="Century Gothic" w:cs="Century Gothic" w:ascii="Century Gothic" w:hAnsi="Century Gothic"/>
        </w:rPr>
        <w:t>W postępowaniu mogą wziąć udział podmioty, które znajdują̨ się̨ w sytuacji finansowej zapewniającej realizację przedmiotu zamówienia oraz wobec których nie wszczęto postępowania o ogłoszenie upadłości/likwidacji lub co do których nie ogłoszono upadłości/likwidacji.</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r>
        <w:rPr>
          <w:rFonts w:eastAsia="Century Gothic" w:cs="Century Gothic" w:ascii="Century Gothic" w:hAnsi="Century Gothic"/>
          <w:b/>
        </w:rPr>
        <w:t>Dodatkowe warunki</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Zamawiający zastrzega sobie prawo do unieważnienia rozeznania bez podania przyczyny.</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 przypadku unieważnienia rozeznania oferentom nie przysługuje roszczenie o zwrot kosztów uczestnictwa w postępowaniu.</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Odstąpienie przez zamawiającego od zawarcia umowy w przypadku zawiadomienia oferenta o wyborze jego oferty nie może być podstawą roszczeń poniesionych kosztów udziału w postępowaniu.</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 toku dokonywania oceny złożonych ofert zamawiający może prosić o udzielenie przez oferentów wyjaśnień dotyczących treści złożonych przez nich dokumentów.</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Zamawiający zastrzega sobie prawo do negocjacji ofert z oferentem, którego oferta zdobyła największą liczbę punktów, zwłaszcza gdy cena oferowana przez oferenta przekracza budżet przeznaczony przez zamawiającego na realizację danego zamówienia. </w:t>
      </w:r>
    </w:p>
    <w:p>
      <w:pPr>
        <w:pStyle w:val="Normal"/>
        <w:widowControl w:val="false"/>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Ważność złożonej oferty przez okres 14 dni od upływu terminu składania ofert.</w:t>
      </w:r>
    </w:p>
    <w:p>
      <w:pPr>
        <w:pStyle w:val="Normal"/>
        <w:widowControl w:val="false"/>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320"/>
        <w:ind w:hanging="0" w:left="9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bookmarkStart w:id="4" w:name="_heading=h.1ci93xb"/>
      <w:bookmarkEnd w:id="4"/>
      <w:r>
        <w:rPr>
          <w:rFonts w:eastAsia="Century Gothic" w:cs="Century Gothic" w:ascii="Century Gothic" w:hAnsi="Century Gothic"/>
          <w:b/>
        </w:rPr>
        <w:t>Warunki zmiany umowy</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 xml:space="preserve">Zamawiający podpisze z wybranym oferentem umowę na realizację usługi w terminie nie dłuższym niż 14 dni od dnia zakończenia procedury wyboru. </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Zamawiający zastrzega sobie możliwość zmiany umowy zawartej z oferentem wybranym w wyniku niniejszego zapytania ofertowego, z następujących powodów:</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działań osób trzecich uniemożliwiających wykonanie prac, które to działania nie są konsekwencją winy którejkolwiek ze stron umowy. Każdorazowo, zmiana terminu wykonania zamówienia uzależniona jest od jej akceptacji przez zamawiającego oraz ewentualnie Instytucję Pośredniczącą w finansowaniu projektu (zgodnie z postanowieniami umowy o dofinansowanie);</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zaistnienia innej, niemożliwej do przewidzenia w momencie zawarcia umowy okoliczności prawnej, ekonomicznej lub technicznej, za którą żadna ze stron nie ponosi odpowiedzialności, skutkująca brakiem możliwości należytego wykonania umowy, zgodnie z zapisami zapytania ofertowego;</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zmian regulacji prawnych obowiązujących w dniu podpisania umowy.</w:t>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bookmarkStart w:id="5" w:name="_heading=h.3whwml4"/>
      <w:bookmarkEnd w:id="5"/>
      <w:r>
        <w:rPr>
          <w:rFonts w:eastAsia="Century Gothic" w:cs="Century Gothic" w:ascii="Century Gothic" w:hAnsi="Century Gothic"/>
          <w:b/>
        </w:rPr>
        <w:t>Lista dokumentów/oświadczeń wymaganych od Wykonawcy</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 xml:space="preserve">Załącznik nr 3 – Formularz oferty </w:t>
      </w:r>
    </w:p>
    <w:p>
      <w:pPr>
        <w:pStyle w:val="Normal"/>
        <w:spacing w:lineRule="auto" w:line="240" w:before="0" w:after="320"/>
        <w:jc w:val="both"/>
        <w:rPr>
          <w:rFonts w:ascii="Century Gothic" w:hAnsi="Century Gothic" w:eastAsia="Century Gothic" w:cs="Century Gothic"/>
          <w:b/>
        </w:rPr>
      </w:pPr>
      <w:r>
        <w:rPr>
          <w:rFonts w:eastAsia="Century Gothic" w:cs="Century Gothic" w:ascii="Century Gothic" w:hAnsi="Century Gothic"/>
          <w:b/>
        </w:rPr>
        <w:t>Zamówienia uzupełniające</w:t>
      </w:r>
    </w:p>
    <w:p>
      <w:pPr>
        <w:pStyle w:val="Normal"/>
        <w:spacing w:lineRule="auto" w:line="240" w:before="0" w:after="320"/>
        <w:jc w:val="both"/>
        <w:rPr>
          <w:rFonts w:ascii="Century Gothic" w:hAnsi="Century Gothic" w:eastAsia="Century Gothic" w:cs="Century Gothic"/>
        </w:rPr>
      </w:pPr>
      <w:bookmarkStart w:id="6" w:name="_heading=h.2bn6wsx"/>
      <w:bookmarkEnd w:id="6"/>
      <w:r>
        <w:rPr>
          <w:rFonts w:eastAsia="Century Gothic" w:cs="Century Gothic" w:ascii="Century Gothic" w:hAnsi="Century Gothic"/>
        </w:rPr>
        <w:t>Możliwe jest składanie uzupełniających zamówień wybranemu oferentowi wyłącznie, jeśli są one zgodne z głównym celem tego zamówienia, o wartości nie przekraczającej 50% wartości niniejszego zamówienia.</w:t>
      </w:r>
    </w:p>
    <w:p>
      <w:pPr>
        <w:pStyle w:val="Normal"/>
        <w:spacing w:lineRule="auto" w:line="240" w:before="0" w:after="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r>
    </w:p>
    <w:p>
      <w:pPr>
        <w:pStyle w:val="Normal"/>
        <w:numPr>
          <w:ilvl w:val="0"/>
          <w:numId w:val="3"/>
        </w:numPr>
        <w:spacing w:lineRule="auto" w:line="276" w:before="0" w:after="0"/>
        <w:ind w:hanging="360" w:left="720"/>
        <w:jc w:val="both"/>
        <w:rPr>
          <w:rFonts w:ascii="Century Gothic" w:hAnsi="Century Gothic" w:eastAsia="Century Gothic" w:cs="Century Gothic"/>
          <w:b/>
          <w:sz w:val="28"/>
          <w:szCs w:val="28"/>
        </w:rPr>
      </w:pPr>
      <w:bookmarkStart w:id="7" w:name="_heading=h.3znysh7"/>
      <w:bookmarkEnd w:id="7"/>
      <w:r>
        <w:rPr>
          <w:rFonts w:eastAsia="Century Gothic" w:cs="Century Gothic" w:ascii="Century Gothic" w:hAnsi="Century Gothic"/>
          <w:b/>
          <w:sz w:val="28"/>
          <w:szCs w:val="28"/>
        </w:rPr>
        <w:t>Miejsce i sposób składania ofert</w:t>
      </w:r>
    </w:p>
    <w:p>
      <w:pPr>
        <w:pStyle w:val="Normal"/>
        <w:numPr>
          <w:ilvl w:val="0"/>
          <w:numId w:val="1"/>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Termin składania ofert: 19</w:t>
      </w:r>
      <w:r>
        <w:rPr>
          <w:rFonts w:eastAsia="Century Gothic" w:cs="Century Gothic" w:ascii="Century Gothic" w:hAnsi="Century Gothic"/>
          <w:shd w:fill="FFFFFF" w:val="clear"/>
        </w:rPr>
        <w:t>.09.2025 r.</w:t>
      </w:r>
      <w:r>
        <w:rPr>
          <w:rFonts w:eastAsia="Century Gothic" w:cs="Century Gothic" w:ascii="Century Gothic" w:hAnsi="Century Gothic"/>
        </w:rPr>
        <w:t xml:space="preserve"> Oferty złożone po terminie nie będą rozpatrywane.</w:t>
      </w:r>
    </w:p>
    <w:p>
      <w:pPr>
        <w:pStyle w:val="Normal"/>
        <w:numPr>
          <w:ilvl w:val="0"/>
          <w:numId w:val="1"/>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Ofertę wraz wymaganymi załącznikami należy składać w formie elektronicznej na adres mailowy: </w:t>
      </w:r>
      <w:hyperlink r:id="rId2">
        <w:r>
          <w:rPr>
            <w:rStyle w:val="Hyperlink"/>
            <w:rFonts w:eastAsia="Century Gothic" w:cs="Century Gothic" w:ascii="Century Gothic" w:hAnsi="Century Gothic"/>
            <w:color w:val="0000FF"/>
            <w:u w:val="single"/>
          </w:rPr>
          <w:t>granty@fileclo.pl</w:t>
        </w:r>
      </w:hyperlink>
      <w:r>
        <w:rPr>
          <w:rFonts w:eastAsia="Century Gothic" w:cs="Century Gothic" w:ascii="Century Gothic" w:hAnsi="Century Gothic"/>
        </w:rPr>
        <w:t xml:space="preserve"> lub </w:t>
      </w:r>
      <w:hyperlink r:id="rId3">
        <w:r>
          <w:rPr>
            <w:rStyle w:val="Hyperlink"/>
            <w:rFonts w:eastAsia="Century Gothic" w:cs="Century Gothic" w:ascii="Century Gothic" w:hAnsi="Century Gothic"/>
          </w:rPr>
          <w:t>pilaszek@trimen.pl</w:t>
        </w:r>
      </w:hyperlink>
      <w:r>
        <w:rPr>
          <w:rFonts w:eastAsia="Century Gothic" w:cs="Century Gothic" w:ascii="Century Gothic" w:hAnsi="Century Gothic"/>
        </w:rPr>
        <w:t xml:space="preserve"> W tytule wiadomości należy podać numer zapytania ofertowego tj. </w:t>
      </w:r>
      <w:r>
        <w:rPr>
          <w:rFonts w:eastAsia="Roboto" w:cs="Roboto" w:ascii="Roboto" w:hAnsi="Roboto"/>
          <w:b/>
          <w:color w:val="1F1F1F"/>
          <w:highlight w:val="white"/>
        </w:rPr>
        <w:t>44-25-produkcja</w:t>
      </w:r>
    </w:p>
    <w:p>
      <w:pPr>
        <w:pStyle w:val="Normal"/>
        <w:numPr>
          <w:ilvl w:val="0"/>
          <w:numId w:val="1"/>
        </w:numPr>
        <w:shd w:val="clear" w:fill="FFFFFF"/>
        <w:spacing w:lineRule="auto" w:line="276" w:before="0" w:after="220"/>
        <w:ind w:hanging="360" w:left="720"/>
        <w:jc w:val="both"/>
        <w:rPr>
          <w:rFonts w:ascii="Century Gothic" w:hAnsi="Century Gothic" w:eastAsia="Century Gothic" w:cs="Century Gothic"/>
        </w:rPr>
      </w:pPr>
      <w:bookmarkStart w:id="8" w:name="_heading=h.tyjcwt"/>
      <w:bookmarkEnd w:id="8"/>
      <w:r>
        <w:rPr>
          <w:rFonts w:eastAsia="Century Gothic" w:cs="Century Gothic" w:ascii="Century Gothic" w:hAnsi="Century Gothic"/>
        </w:rPr>
        <w:t xml:space="preserve">Osoba do kontaktu w sprawie ogłoszenia: Przemysław Pilaszek, </w:t>
      </w:r>
      <w:r>
        <w:rPr>
          <w:rFonts w:eastAsia="Century Gothic" w:cs="Century Gothic" w:ascii="Century Gothic" w:hAnsi="Century Gothic"/>
          <w:highlight w:val="white"/>
        </w:rPr>
        <w:t>+48 602 306 668</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b/>
          <w:sz w:val="28"/>
          <w:szCs w:val="28"/>
        </w:rPr>
        <w:t>4. Kryterium oceny oferty</w:t>
      </w:r>
      <w:r>
        <w:rPr>
          <w:rFonts w:eastAsia="Century Gothic" w:cs="Century Gothic" w:ascii="Century Gothic" w:hAnsi="Century Gothic"/>
          <w:sz w:val="28"/>
          <w:szCs w:val="28"/>
        </w:rPr>
        <w:tab/>
      </w:r>
      <w:r>
        <w:rPr>
          <w:rFonts w:eastAsia="Century Gothic" w:cs="Century Gothic" w:ascii="Century Gothic" w:hAnsi="Century Gothic"/>
        </w:rPr>
        <w:tab/>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0" w:left="0"/>
        <w:jc w:val="both"/>
        <w:rPr>
          <w:rFonts w:ascii="Century Gothic" w:hAnsi="Century Gothic" w:eastAsia="Century Gothic" w:cs="Century Gothic"/>
        </w:rPr>
      </w:pPr>
      <w:r>
        <w:rPr>
          <w:rFonts w:eastAsia="Century Gothic" w:cs="Century Gothic" w:ascii="Century Gothic" w:hAnsi="Century Gothic"/>
        </w:rPr>
        <w:t xml:space="preserve">Cena netto najniższej oferty/cena netto oferty badanej x 100 % = ilość punktów </w:t>
      </w:r>
    </w:p>
    <w:p>
      <w:pPr>
        <w:pStyle w:val="Normal"/>
        <w:spacing w:lineRule="auto" w:line="240" w:before="0" w:after="0"/>
        <w:ind w:firstLine="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ab/>
        <w:tab/>
      </w:r>
    </w:p>
    <w:p>
      <w:pPr>
        <w:pStyle w:val="Normal"/>
        <w:numPr>
          <w:ilvl w:val="0"/>
          <w:numId w:val="2"/>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 najkorzystniejszą zostanie uznana oferta, która uzyska najwyższą ilość punktów.</w:t>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numPr>
          <w:ilvl w:val="0"/>
          <w:numId w:val="2"/>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Jeżeli dwie lub więcej ofert otrzymają taką samą liczbę̨ punktów, zamawiający przeprowadzi z oferentami negocjacje cenowe i wybierze ofertę najkorzystniejszą cenowo.</w:t>
      </w:r>
    </w:p>
    <w:p>
      <w:pPr>
        <w:pStyle w:val="Normal"/>
        <w:shd w:val="clear" w:fill="FFFFFF"/>
        <w:spacing w:lineRule="auto" w:line="240" w:before="0" w:after="0"/>
        <w:ind w:hanging="0" w:left="81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720" w:left="714"/>
        <w:jc w:val="both"/>
        <w:rPr>
          <w:rFonts w:ascii="Century Gothic" w:hAnsi="Century Gothic" w:eastAsia="Century Gothic" w:cs="Century Gothic"/>
        </w:rPr>
      </w:pPr>
      <w:r>
        <w:rPr>
          <w:rFonts w:eastAsia="Century Gothic" w:cs="Century Gothic" w:ascii="Century Gothic" w:hAnsi="Century Gothic"/>
        </w:rPr>
      </w:r>
    </w:p>
    <w:p>
      <w:pPr>
        <w:pStyle w:val="Normal"/>
        <w:widowControl/>
        <w:bidi w:val="0"/>
        <w:spacing w:lineRule="auto" w:line="259" w:before="0" w:after="160"/>
        <w:jc w:val="left"/>
        <w:rPr/>
      </w:pPr>
      <w:r>
        <w:rPr/>
      </w:r>
    </w:p>
    <w:sectPr>
      <w:headerReference w:type="even" r:id="rId4"/>
      <w:headerReference w:type="default" r:id="rId5"/>
      <w:headerReference w:type="first" r:id="rId6"/>
      <w:type w:val="nextPage"/>
      <w:pgSz w:w="11906" w:h="16838"/>
      <w:pgMar w:left="1080" w:right="1080" w:gutter="0" w:header="454"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Century Gothic">
    <w:charset w:val="00"/>
    <w:family w:val="roman"/>
    <w:pitch w:val="variable"/>
  </w:font>
  <w:font w:name="Roboto">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1"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2"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l-PL"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50354e"/>
    <w:rPr/>
  </w:style>
  <w:style w:type="character" w:styleId="StopkaZnak" w:customStyle="1">
    <w:name w:val="Stopka Znak"/>
    <w:basedOn w:val="DefaultParagraphFont"/>
    <w:uiPriority w:val="99"/>
    <w:qFormat/>
    <w:rsid w:val="0050354e"/>
    <w:rPr/>
  </w:style>
  <w:style w:type="character" w:styleId="InternetLink">
    <w:name w:val="Internet Link"/>
    <w:basedOn w:val="DefaultParagraphFont"/>
    <w:uiPriority w:val="99"/>
    <w:unhideWhenUsed/>
    <w:qFormat/>
    <w:rsid w:val="00a024b7"/>
    <w:rPr>
      <w:color w:themeColor="hyperlink" w:val="0563C1"/>
      <w:u w:val="single"/>
    </w:rPr>
  </w:style>
  <w:style w:type="character" w:styleId="UnresolvedMention">
    <w:name w:val="Unresolved Mention"/>
    <w:basedOn w:val="DefaultParagraphFont"/>
    <w:uiPriority w:val="99"/>
    <w:semiHidden/>
    <w:unhideWhenUsed/>
    <w:qFormat/>
    <w:rsid w:val="00a024b7"/>
    <w:rPr>
      <w:color w:val="605E5C"/>
      <w:shd w:fill="E1DFDD" w:val="clear"/>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InternetLink9">
    <w:name w:val="Internet Link9"/>
    <w:qFormat/>
    <w:rPr>
      <w:color w:val="000080"/>
      <w:u w:val="single"/>
    </w:rPr>
  </w:style>
  <w:style w:type="character" w:styleId="InternetLink10">
    <w:name w:val="Internet Link10"/>
    <w:qFormat/>
    <w:rPr>
      <w:color w:val="000080"/>
      <w:u w:val="single"/>
    </w:rPr>
  </w:style>
  <w:style w:type="character" w:styleId="InternetLink11">
    <w:name w:val="Internet Link11"/>
    <w:qFormat/>
    <w:rPr>
      <w:color w:val="000080"/>
      <w:u w:val="single"/>
    </w:rPr>
  </w:style>
  <w:style w:type="character" w:styleId="InternetLink12">
    <w:name w:val="Internet Link12"/>
    <w:qFormat/>
    <w:rPr>
      <w:color w:val="000080"/>
      <w:u w:val="single"/>
    </w:rPr>
  </w:style>
  <w:style w:type="character" w:styleId="InternetLink13">
    <w:name w:val="Internet Link13"/>
    <w:qFormat/>
    <w:rPr>
      <w:color w:val="000080"/>
      <w:u w:val="single"/>
    </w:rPr>
  </w:style>
  <w:style w:type="character" w:styleId="Hyperlink">
    <w:name w:val="Hyperlink"/>
    <w:rPr>
      <w:color w:val="000080"/>
      <w:u w:val="singl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LO-normal"/>
    <w:next w:val="LO-normal"/>
    <w:uiPriority w:val="11"/>
    <w:qFormat/>
    <w:pPr>
      <w:keepNext w:val="true"/>
      <w:keepLines/>
      <w:pageBreakBefore w:val="false"/>
      <w:widowControl/>
      <w:shd w:val="clear" w:fill="auto"/>
      <w:spacing w:lineRule="auto" w:line="259"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Gwkaistopka">
    <w:name w:val="Główka i stopka"/>
    <w:basedOn w:val="Normal"/>
    <w:qFormat/>
    <w:pPr/>
    <w:rPr/>
  </w:style>
  <w:style w:type="paragraph" w:styleId="Header">
    <w:name w:val="Header"/>
    <w:basedOn w:val="Normal"/>
    <w:link w:val="NagwekZnak"/>
    <w:uiPriority w:val="99"/>
    <w:unhideWhenUsed/>
    <w:rsid w:val="0050354e"/>
    <w:pPr>
      <w:tabs>
        <w:tab w:val="clear" w:pos="720"/>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50354e"/>
    <w:pPr>
      <w:tabs>
        <w:tab w:val="clear" w:pos="720"/>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9e6192"/>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qFormat/>
    <w:pPr>
      <w:spacing w:before="0" w:after="0"/>
      <w:ind w:left="720"/>
      <w:contextualSpacing/>
    </w:pPr>
    <w:rPr/>
  </w:style>
  <w:style w:type="numbering" w:styleId="Bezlisty" w:default="1">
    <w:name w:val="Bez listy"/>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Tabela-Siatka">
    <w:name w:val="Table Grid"/>
    <w:basedOn w:val="Standardowy"/>
    <w:uiPriority w:val="39"/>
    <w:rsid w:val="00a024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ranty@fileclo.pl" TargetMode="External"/><Relationship Id="rId3" Type="http://schemas.openxmlformats.org/officeDocument/2006/relationships/hyperlink" Target="mailto:pilaszek@trimen.p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dh1h7iopV8EGsYB/567DRFR7JZw==">CgMxLjAyDmgudHI3aTF2ZnZtMjdlMg5oLnR1czlhZnU3NjQzbjIJaC4xcHhlendjMgloLjFjaTkzeGIyCWguM3dod21sNDIJaC4yYm42d3N4MgloLjN6bnlzaDcyCGgudHlqY3d0OAByITFhbE1Kck8tcExXYTA2alRQUVJmOEw5dWlvdUdxeE0tRQ==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45</TotalTime>
  <Application>LibreOffice/24.2.4.2$Windows_X86_64 LibreOffice_project/51a6219feb6075d9a4c46691dcfe0cd9c4fff3c2</Application>
  <AppVersion>15.0000</AppVersion>
  <Pages>4</Pages>
  <Words>1105</Words>
  <Characters>7728</Characters>
  <CharactersWithSpaces>8938</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2023-09-07T12:36:00Z</dcterms:created>
  <dc:creator>Katarzyna Waraksa</dc:creator>
  <dc:description/>
  <dc:language>pl-PL</dc:language>
  <cp:lastModifiedBy/>
  <dcterms:modified xsi:type="dcterms:W3CDTF">2025-09-09T13:38:08Z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