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 xml:space="preserve">Łódź, dn. </w:t>
      </w:r>
      <w:r>
        <w:rPr>
          <w:rFonts w:eastAsia="Century Gothic" w:cs="Century Gothic" w:ascii="Century Gothic" w:hAnsi="Century Gothic"/>
        </w:rPr>
        <w:t>20</w:t>
      </w:r>
      <w:r>
        <w:rPr>
          <w:rFonts w:eastAsia="Century Gothic" w:cs="Century Gothic" w:ascii="Century Gothic" w:hAnsi="Century Gothic"/>
        </w:rPr>
        <w:t>.0</w:t>
      </w:r>
      <w:r>
        <w:rPr>
          <w:rFonts w:eastAsia="Century Gothic" w:cs="Century Gothic" w:ascii="Century Gothic" w:hAnsi="Century Gothic"/>
        </w:rPr>
        <w:t>6</w:t>
      </w:r>
      <w:r>
        <w:rPr>
          <w:rFonts w:eastAsia="Century Gothic" w:cs="Century Gothic" w:ascii="Century Gothic" w:hAnsi="Century Gothic"/>
        </w:rPr>
        <w:t>.2025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42</w:t>
      </w:r>
      <w:r>
        <w:rPr>
          <w:rFonts w:eastAsia="Roboto" w:cs="Roboto" w:ascii="Roboto" w:hAnsi="Roboto"/>
          <w:b/>
          <w:color w:val="1F1F1F"/>
          <w:sz w:val="28"/>
          <w:szCs w:val="28"/>
          <w:highlight w:val="white"/>
        </w:rPr>
        <w:t>-25-sprzet</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drobnego sprzętu laboratoryjnego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Przedmiotem zamówienia jest dostawa drobnego sprzętu laboratoryjnego z poniższego zestawienia :</w:t>
      </w:r>
    </w:p>
    <w:p>
      <w:pPr>
        <w:pStyle w:val="Normal"/>
        <w:spacing w:lineRule="auto" w:line="240" w:before="0" w:after="0"/>
        <w:jc w:val="both"/>
        <w:rPr>
          <w:rFonts w:ascii="Century Gothic" w:hAnsi="Century Gothic" w:eastAsia="Century Gothic" w:cs="Century Gothic"/>
          <w:color w:val="222222"/>
          <w:highlight w:val="white"/>
        </w:rPr>
      </w:pPr>
      <w:r>
        <w:rPr>
          <w:rFonts w:eastAsia="Times New Roman" w:cs="Calibri" w:cstheme="minorHAnsi"/>
          <w:color w:val="000000"/>
          <w:lang w:eastAsia="pl-PL"/>
        </w:rPr>
      </w:r>
    </w:p>
    <w:p>
      <w:pPr>
        <w:pStyle w:val="ListParagraph"/>
        <w:numPr>
          <w:ilvl w:val="0"/>
          <w:numId w:val="1"/>
        </w:numPr>
        <w:spacing w:beforeAutospacing="1" w:afterAutospacing="1"/>
        <w:contextualSpacing/>
        <w:rPr>
          <w:rFonts w:ascii="Century Gothic" w:hAnsi="Century Gothic"/>
        </w:rPr>
      </w:pPr>
      <w:r>
        <w:rPr>
          <w:rFonts w:eastAsia="Times New Roman" w:cs="Calibri" w:ascii="Century Gothic" w:hAnsi="Century Gothic" w:cstheme="minorHAnsi"/>
          <w:color w:val="000000"/>
          <w:lang w:eastAsia="pl-PL"/>
        </w:rPr>
        <w:t>zestaw uszczelek do nebulizatorów detektorów ELSD -</w:t>
      </w:r>
      <w:r>
        <w:rPr>
          <w:rFonts w:cs="Calibri" w:ascii="Century Gothic" w:hAnsi="Century Gothic" w:cstheme="minorHAnsi"/>
        </w:rPr>
        <w:t xml:space="preserve"> Sedere sprzęgniętych z Chromatografem Flash SepaBean 2 Santai</w:t>
      </w:r>
    </w:p>
    <w:p>
      <w:pPr>
        <w:pStyle w:val="Normal"/>
        <w:spacing w:beforeAutospacing="1" w:afterAutospacing="1"/>
        <w:ind w:left="360"/>
        <w:rPr>
          <w:rFonts w:ascii="Century Gothic" w:hAnsi="Century Gothic"/>
        </w:rPr>
      </w:pPr>
      <w:r>
        <w:rPr>
          <w:rFonts w:eastAsia="Times New Roman" w:cs="Calibri" w:ascii="Century Gothic" w:hAnsi="Century Gothic" w:cstheme="minorHAnsi"/>
          <w:color w:val="000000"/>
          <w:lang w:eastAsia="pl-PL"/>
        </w:rPr>
        <w:t xml:space="preserve"> </w:t>
      </w:r>
      <w:r>
        <w:rPr>
          <w:rFonts w:eastAsia="Times New Roman" w:cs="Calibri" w:ascii="Century Gothic" w:hAnsi="Century Gothic" w:cstheme="minorHAnsi"/>
          <w:color w:val="000000"/>
          <w:lang w:eastAsia="pl-PL"/>
        </w:rPr>
        <w:t>Nr katalogowy zestawu :</w:t>
      </w:r>
      <w:r>
        <w:rPr>
          <w:rFonts w:eastAsia="Times New Roman" w:cs="Calibri" w:ascii="Century Gothic" w:hAnsi="Century Gothic" w:cstheme="minorHAnsi"/>
          <w:b/>
          <w:bCs/>
          <w:color w:val="000000"/>
          <w:lang w:eastAsia="pl-PL"/>
        </w:rPr>
        <w:t> Sedere 85071 lub zamiennik</w:t>
      </w:r>
    </w:p>
    <w:p>
      <w:pPr>
        <w:pStyle w:val="Normal"/>
        <w:spacing w:beforeAutospacing="1" w:afterAutospacing="1"/>
        <w:rPr>
          <w:rFonts w:ascii="Century Gothic" w:hAnsi="Century Gothic"/>
        </w:rPr>
      </w:pPr>
      <w:r>
        <w:rPr>
          <w:rFonts w:eastAsia="Times New Roman" w:cs="Calibri" w:ascii="Century Gothic" w:hAnsi="Century Gothic" w:cstheme="minorHAnsi"/>
          <w:color w:val="000000"/>
          <w:lang w:eastAsia="pl-PL"/>
        </w:rPr>
        <w:t>Każdy zestaw składa się z 3 sztuk uszczelek elastomerowo teflonowych, do gwintów szklanych w nebulizatorze o średnicach zewnętrznych 14mm, 23mm, 32mm.</w:t>
      </w:r>
    </w:p>
    <w:p>
      <w:pPr>
        <w:pStyle w:val="Normal"/>
        <w:spacing w:beforeAutospacing="1" w:afterAutospacing="1"/>
        <w:rPr>
          <w:rFonts w:ascii="Century Gothic" w:hAnsi="Century Gothic"/>
        </w:rPr>
      </w:pPr>
      <w:r>
        <w:rPr>
          <w:rFonts w:eastAsia="Times New Roman" w:cs="Calibri" w:ascii="Century Gothic" w:hAnsi="Century Gothic" w:cstheme="minorHAnsi"/>
          <w:color w:val="000000"/>
          <w:lang w:eastAsia="pl-PL"/>
        </w:rPr>
        <w:tab/>
        <w:tab/>
        <w:tab/>
        <w:tab/>
        <w:t>2 komplety</w:t>
      </w:r>
    </w:p>
    <w:p>
      <w:pPr>
        <w:pStyle w:val="ListParagraph"/>
        <w:numPr>
          <w:ilvl w:val="0"/>
          <w:numId w:val="1"/>
        </w:numPr>
        <w:spacing w:beforeAutospacing="1" w:afterAutospacing="1"/>
        <w:contextualSpacing/>
        <w:rPr>
          <w:rFonts w:ascii="Century Gothic" w:hAnsi="Century Gothic"/>
        </w:rPr>
      </w:pPr>
      <w:r>
        <w:rPr>
          <w:rFonts w:eastAsia="Times New Roman" w:cs="Calibri" w:ascii="Century Gothic" w:hAnsi="Century Gothic" w:cstheme="minorHAnsi"/>
          <w:color w:val="000000"/>
          <w:lang w:eastAsia="pl-PL"/>
        </w:rPr>
        <w:t xml:space="preserve">nebulizator kompletny, szklany dedykowany do detektora ELSD </w:t>
      </w:r>
      <w:r>
        <w:rPr>
          <w:rFonts w:cs="Calibri" w:ascii="Century Gothic" w:hAnsi="Century Gothic" w:cstheme="minorHAnsi"/>
        </w:rPr>
        <w:t>Sedere sprzęgniętego z Chromatografem Flash SepaBean 2 Santai</w:t>
      </w:r>
      <w:r>
        <w:rPr>
          <w:rFonts w:eastAsia="Times New Roman" w:cs="Calibri" w:ascii="Century Gothic" w:hAnsi="Century Gothic" w:cstheme="minorHAnsi"/>
          <w:color w:val="000000"/>
          <w:lang w:eastAsia="pl-PL"/>
        </w:rPr>
        <w:t xml:space="preserve">, </w:t>
      </w:r>
    </w:p>
    <w:p>
      <w:pPr>
        <w:pStyle w:val="ListParagraph"/>
        <w:spacing w:beforeAutospacing="1" w:afterAutospacing="1"/>
        <w:contextualSpacing/>
        <w:rPr>
          <w:rFonts w:ascii="Century Gothic" w:hAnsi="Century Gothic"/>
        </w:rPr>
      </w:pPr>
      <w:r>
        <w:rPr>
          <w:rFonts w:eastAsia="Times New Roman" w:cs="Calibri" w:ascii="Century Gothic" w:hAnsi="Century Gothic" w:cstheme="minorHAnsi"/>
          <w:color w:val="000000"/>
          <w:lang w:eastAsia="pl-PL"/>
        </w:rPr>
        <w:t>nr katalogowy </w:t>
      </w:r>
      <w:r>
        <w:rPr>
          <w:rFonts w:eastAsia="Times New Roman" w:cs="Calibri" w:ascii="Century Gothic" w:hAnsi="Century Gothic" w:cstheme="minorHAnsi"/>
          <w:b/>
          <w:bCs/>
          <w:color w:val="000000"/>
          <w:lang w:eastAsia="pl-PL"/>
        </w:rPr>
        <w:t>Sedere 51260 lub zamiennik</w:t>
      </w:r>
      <w:r>
        <w:rPr>
          <w:rFonts w:eastAsia="Times New Roman" w:cs="Calibri" w:ascii="Century Gothic" w:hAnsi="Century Gothic" w:cstheme="minorHAnsi"/>
          <w:color w:val="000000"/>
          <w:lang w:eastAsia="pl-PL"/>
        </w:rPr>
        <w:t>, będący  monolitycznym elementem szklanym, zaopatrzonym w trzy przyłącza gwintowane o średnicach zewnętrznych: 14mm, 23mm, 32mm.</w:t>
      </w:r>
    </w:p>
    <w:p>
      <w:pPr>
        <w:pStyle w:val="ListParagraph"/>
        <w:spacing w:beforeAutospacing="1" w:afterAutospacing="1"/>
        <w:contextualSpacing/>
        <w:rPr>
          <w:rFonts w:ascii="Century Gothic" w:hAnsi="Century Gothic" w:eastAsia="Times New Roman" w:cs="Calibri" w:cstheme="minorHAnsi"/>
          <w:color w:val="000000"/>
          <w:lang w:eastAsia="pl-PL"/>
        </w:rPr>
      </w:pPr>
      <w:r>
        <w:rPr>
          <w:rFonts w:eastAsia="Times New Roman" w:cs="Calibri" w:cstheme="minorHAnsi" w:ascii="Century Gothic" w:hAnsi="Century Gothic"/>
          <w:color w:val="000000"/>
          <w:lang w:eastAsia="pl-PL"/>
        </w:rPr>
      </w:r>
    </w:p>
    <w:p>
      <w:pPr>
        <w:pStyle w:val="ListParagraph"/>
        <w:spacing w:beforeAutospacing="1" w:afterAutospacing="1"/>
        <w:contextualSpacing/>
        <w:rPr>
          <w:rFonts w:ascii="Century Gothic" w:hAnsi="Century Gothic"/>
        </w:rPr>
      </w:pPr>
      <w:r>
        <w:rPr>
          <w:rFonts w:eastAsia="Times New Roman" w:cs="Calibri" w:ascii="Century Gothic" w:hAnsi="Century Gothic" w:cstheme="minorHAnsi"/>
          <w:color w:val="000000"/>
          <w:lang w:eastAsia="pl-PL"/>
        </w:rPr>
        <w:t xml:space="preserve">   </w:t>
      </w:r>
      <w:r>
        <w:rPr>
          <w:rFonts w:eastAsia="Times New Roman" w:cs="Calibri" w:ascii="Century Gothic" w:hAnsi="Century Gothic" w:cstheme="minorHAnsi"/>
          <w:color w:val="000000"/>
          <w:lang w:eastAsia="pl-PL"/>
        </w:rPr>
        <w:tab/>
        <w:tab/>
        <w:tab/>
        <w:t>1 sztuka</w:t>
      </w:r>
    </w:p>
    <w:p>
      <w:pPr>
        <w:pStyle w:val="Normal"/>
        <w:rPr>
          <w:rFonts w:ascii="Century Gothic" w:hAnsi="Century Gothic" w:eastAsia="Times New Roman" w:cs="Calibri" w:cstheme="minorHAnsi"/>
          <w:lang w:eastAsia="pl-PL"/>
        </w:rPr>
      </w:pPr>
      <w:r>
        <w:rPr>
          <w:rFonts w:eastAsia="Times New Roman" w:cs="Calibri" w:cstheme="minorHAnsi" w:ascii="Century Gothic" w:hAnsi="Century Gothic"/>
          <w:lang w:eastAsia="pl-PL"/>
        </w:rPr>
      </w:r>
    </w:p>
    <w:p>
      <w:pPr>
        <w:pStyle w:val="ListParagraph"/>
        <w:numPr>
          <w:ilvl w:val="0"/>
          <w:numId w:val="1"/>
        </w:numPr>
        <w:rPr>
          <w:rFonts w:ascii="Century Gothic" w:hAnsi="Century Gothic"/>
        </w:rPr>
      </w:pPr>
      <w:r>
        <w:rPr>
          <w:rFonts w:cs="Calibri" w:ascii="Century Gothic" w:hAnsi="Century Gothic" w:cstheme="minorHAnsi"/>
        </w:rPr>
        <w:t xml:space="preserve">Źródło światła dla ELSD Sedex FP Sedere sprzęgniętym z Chromatografem Flash SepaBean 2 Santai, </w:t>
      </w:r>
    </w:p>
    <w:p>
      <w:pPr>
        <w:pStyle w:val="ListParagraph"/>
        <w:rPr>
          <w:rFonts w:ascii="Century Gothic" w:hAnsi="Century Gothic"/>
        </w:rPr>
      </w:pPr>
      <w:r>
        <w:rPr>
          <w:rFonts w:cs="Calibri" w:ascii="Century Gothic" w:hAnsi="Century Gothic" w:cstheme="minorHAnsi"/>
        </w:rPr>
        <w:t xml:space="preserve">Typ – niebieska dioda Light Source Blue LED, Elapsed Time Counter, nr kat. </w:t>
      </w:r>
      <w:r>
        <w:rPr>
          <w:rFonts w:cs="Calibri" w:ascii="Century Gothic" w:hAnsi="Century Gothic" w:cstheme="minorHAnsi"/>
          <w:b/>
          <w:bCs/>
        </w:rPr>
        <w:t>Sedere ST40020 lub zamiennik</w:t>
      </w:r>
    </w:p>
    <w:p>
      <w:pPr>
        <w:pStyle w:val="ListParagraph"/>
        <w:rPr>
          <w:rFonts w:cs="Calibri" w:cstheme="minorHAnsi"/>
          <w:b/>
          <w:bCs/>
        </w:rPr>
      </w:pPr>
      <w:r>
        <w:rPr>
          <w:rFonts w:ascii="Century Gothic" w:hAnsi="Century Gothic"/>
        </w:rPr>
      </w:r>
    </w:p>
    <w:p>
      <w:pPr>
        <w:pStyle w:val="ListParagraph"/>
        <w:rPr>
          <w:rFonts w:ascii="Century Gothic" w:hAnsi="Century Gothic"/>
        </w:rPr>
      </w:pPr>
      <w:r>
        <w:rPr>
          <w:rFonts w:eastAsia="Century Gothic" w:cs="Calibri" w:ascii="Century Gothic" w:hAnsi="Century Gothic" w:cstheme="minorHAnsi"/>
          <w:b w:val="false"/>
          <w:bCs w:val="false"/>
          <w:shd w:fill="FFFFFF" w:val="clear"/>
        </w:rPr>
        <w:tab/>
        <w:tab/>
        <w:tab/>
        <w:t>2 sztuki</w:t>
      </w:r>
    </w:p>
    <w:p>
      <w:pPr>
        <w:pStyle w:val="BodyText"/>
        <w:spacing w:before="0" w:after="0"/>
        <w:ind w:hanging="0" w:left="0" w:right="0"/>
        <w:rPr>
          <w:highlight w:val="none"/>
          <w:shd w:fill="FFFFFF" w:val="clear"/>
        </w:rPr>
      </w:pPr>
      <w:r>
        <w:rPr>
          <w:shd w:fill="FFFFFF" w:val="clear"/>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Termin składania ofert: </w:t>
      </w:r>
      <w:r>
        <w:rPr>
          <w:rFonts w:eastAsia="Century Gothic" w:cs="Century Gothic" w:ascii="Century Gothic" w:hAnsi="Century Gothic"/>
        </w:rPr>
        <w:t>27</w:t>
      </w:r>
      <w:r>
        <w:rPr>
          <w:rFonts w:eastAsia="Century Gothic" w:cs="Century Gothic" w:ascii="Century Gothic" w:hAnsi="Century Gothic"/>
          <w:shd w:fill="FFFFFF" w:val="clear"/>
        </w:rPr>
        <w:t>.0</w:t>
      </w:r>
      <w:r>
        <w:rPr>
          <w:rFonts w:eastAsia="Century Gothic" w:cs="Century Gothic" w:ascii="Century Gothic" w:hAnsi="Century Gothic"/>
          <w:shd w:fill="FFFFFF" w:val="clear"/>
        </w:rPr>
        <w:t>6</w:t>
      </w:r>
      <w:r>
        <w:rPr>
          <w:rFonts w:eastAsia="Century Gothic" w:cs="Century Gothic" w:ascii="Century Gothic" w:hAnsi="Century Gothic"/>
          <w:shd w:fill="FFFFFF" w:val="clear"/>
        </w:rPr>
        <w:t>.2025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42</w:t>
      </w:r>
      <w:r>
        <w:rPr>
          <w:rFonts w:eastAsia="Roboto" w:cs="Roboto" w:ascii="Roboto" w:hAnsi="Roboto"/>
          <w:b/>
          <w:color w:val="1F1F1F"/>
          <w:highlight w:val="white"/>
        </w:rPr>
        <w:t>-25-sprzet</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 w:name="Century Gothic">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InternetLink10">
    <w:name w:val="Internet Link10"/>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qFormat/>
    <w:pPr>
      <w:spacing w:before="0" w:after="0"/>
      <w:ind w:left="720"/>
      <w:contextualSpacing/>
    </w:pPr>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38</TotalTime>
  <Application>LibreOffice/24.2.4.2$Windows_X86_64 LibreOffice_project/51a6219feb6075d9a4c46691dcfe0cd9c4fff3c2</Application>
  <AppVersion>15.0000</AppVersion>
  <Pages>3</Pages>
  <Words>657</Words>
  <Characters>4394</Characters>
  <CharactersWithSpaces>5082</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2025-06-20T16:17:27Z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