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 xml:space="preserve">Łódź, dn. </w:t>
      </w:r>
      <w:r>
        <w:rPr>
          <w:rFonts w:eastAsia="Century Gothic" w:cs="Century Gothic" w:ascii="Century Gothic" w:hAnsi="Century Gothic"/>
        </w:rPr>
        <w:t>03</w:t>
      </w:r>
      <w:r>
        <w:rPr>
          <w:rFonts w:eastAsia="Century Gothic" w:cs="Century Gothic" w:ascii="Century Gothic" w:hAnsi="Century Gothic"/>
        </w:rPr>
        <w:t>.0</w:t>
      </w:r>
      <w:r>
        <w:rPr>
          <w:rFonts w:eastAsia="Century Gothic" w:cs="Century Gothic" w:ascii="Century Gothic" w:hAnsi="Century Gothic"/>
        </w:rPr>
        <w:t>4</w:t>
      </w:r>
      <w:r>
        <w:rPr>
          <w:rFonts w:eastAsia="Century Gothic" w:cs="Century Gothic" w:ascii="Century Gothic" w:hAnsi="Century Gothic"/>
        </w:rPr>
        <w:t>.2025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37-25-advice</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jest przygotowanie i organizacja scientific advice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numPr>
          <w:ilvl w:val="0"/>
          <w:numId w:val="0"/>
        </w:numPr>
        <w:spacing w:lineRule="auto" w:line="240" w:before="0" w:after="0"/>
        <w:ind w:hanging="0" w:left="72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Normal"/>
        <w:numPr>
          <w:ilvl w:val="0"/>
          <w:numId w:val="0"/>
        </w:numPr>
        <w:spacing w:lineRule="auto" w:line="240" w:before="0" w:after="0"/>
        <w:ind w:hanging="0" w:left="72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t>Osoba/organizacja będzie odpowiedzialna za przygotowanie i organizację scientific advice.</w:t>
        <w:br/>
        <w:t>W skład której wchodzą :</w:t>
      </w:r>
    </w:p>
    <w:p>
      <w:pPr>
        <w:pStyle w:val="Normal"/>
        <w:numPr>
          <w:ilvl w:val="0"/>
          <w:numId w:val="0"/>
        </w:numPr>
        <w:spacing w:lineRule="auto" w:line="240" w:before="0" w:after="0"/>
        <w:ind w:hanging="0" w:left="720"/>
        <w:jc w:val="both"/>
        <w:rPr>
          <w:rFonts w:ascii="Century Gothic" w:hAnsi="Century Gothic" w:eastAsia="Century Gothic" w:cs="Century Gothic"/>
          <w:color w:val="222222"/>
          <w:highlight w:val="white"/>
        </w:rPr>
      </w:pPr>
      <w:r>
        <w:rPr>
          <w:rFonts w:eastAsia="Century Gothic" w:cs="Century Gothic" w:ascii="Century Gothic" w:hAnsi="Century Gothic"/>
          <w:color w:val="222222"/>
          <w:highlight w:val="white"/>
        </w:rPr>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opracowanie synopsis badania</w:t>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opracowanie protokołu badania</w:t>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organizacja scientific advice w EMA lub jedną z agencji narodowych</w:t>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 xml:space="preserve">uczestnictwo w </w:t>
      </w:r>
      <w:r>
        <w:rPr>
          <w:rFonts w:eastAsia="Century Gothic" w:cs="Century Gothic" w:ascii="Century Gothic" w:hAnsi="Century Gothic"/>
          <w:b w:val="false"/>
          <w:bCs w:val="false"/>
          <w:color w:val="222222"/>
          <w:shd w:fill="FFFFFF" w:val="clear"/>
        </w:rPr>
        <w:t>scientific advice</w:t>
      </w:r>
    </w:p>
    <w:p>
      <w:pPr>
        <w:pStyle w:val="Normal"/>
        <w:numPr>
          <w:ilvl w:val="0"/>
          <w:numId w:val="6"/>
        </w:numPr>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przygotowanie rekomendacji w zakresie ewentualnych zmian po anali</w:t>
      </w:r>
      <w:r>
        <w:rPr>
          <w:rFonts w:eastAsia="Century Gothic" w:cs="Century Gothic" w:ascii="Century Gothic" w:hAnsi="Century Gothic"/>
          <w:b w:val="false"/>
          <w:bCs w:val="false"/>
          <w:color w:val="222222"/>
          <w:shd w:fill="FFFFFF" w:val="clear"/>
        </w:rPr>
        <w:t>z</w:t>
      </w:r>
      <w:r>
        <w:rPr>
          <w:rFonts w:eastAsia="Century Gothic" w:cs="Century Gothic" w:ascii="Century Gothic" w:hAnsi="Century Gothic"/>
          <w:b w:val="false"/>
          <w:bCs w:val="false"/>
          <w:color w:val="222222"/>
          <w:shd w:fill="FFFFFF" w:val="clear"/>
        </w:rPr>
        <w:t>ie odpowiedzi agencji.</w:t>
      </w:r>
    </w:p>
    <w:p>
      <w:pPr>
        <w:pStyle w:val="Normal"/>
        <w:numPr>
          <w:ilvl w:val="0"/>
          <w:numId w:val="0"/>
        </w:numPr>
        <w:spacing w:lineRule="auto" w:line="240" w:before="0" w:after="0"/>
        <w:ind w:hanging="0" w:left="720"/>
        <w:jc w:val="both"/>
        <w:rPr>
          <w:rFonts w:ascii="Century Gothic" w:hAnsi="Century Gothic" w:eastAsia="Century Gothic" w:cs="Century Gothic"/>
          <w:color w:val="222222"/>
          <w:highlight w:val="white"/>
        </w:rPr>
      </w:pPr>
      <w:r>
        <w:rPr/>
      </w:r>
    </w:p>
    <w:p>
      <w:pPr>
        <w:pStyle w:val="Normal"/>
        <w:spacing w:lineRule="auto" w:line="240" w:before="0" w:after="0"/>
        <w:jc w:val="both"/>
        <w:rPr>
          <w:rFonts w:ascii="Century Gothic" w:hAnsi="Century Gothic" w:eastAsia="Century Gothic" w:cs="Century Gothic"/>
          <w:color w:val="222222"/>
          <w:highlight w:val="white"/>
        </w:rPr>
      </w:pPr>
      <w:r>
        <w:rPr>
          <w:rFonts w:eastAsia="Century Gothic" w:cs="Century Gothic" w:ascii="Century Gothic" w:hAnsi="Century Gothic"/>
          <w:b w:val="false"/>
          <w:bCs w:val="false"/>
          <w:color w:val="222222"/>
          <w:shd w:fill="FFFFFF" w:val="clear"/>
        </w:rPr>
        <w:t>Organizacja i przeprowadzenie procedury Scientific Advice (SA) w wybranej agencji Europejskiej, wraz z rekomendacją, w której agencji procedura zostanie przeprowadzona wraz z opracowaniem synopsis i protokołu badania z niezbędnymi modyfikacjami.</w:t>
      </w:r>
    </w:p>
    <w:p>
      <w:pPr>
        <w:pStyle w:val="Normal"/>
        <w:spacing w:lineRule="auto" w:line="240" w:before="0" w:after="0"/>
        <w:jc w:val="both"/>
        <w:rPr>
          <w:rFonts w:ascii="Century Gothic" w:hAnsi="Century Gothic" w:eastAsia="Century Gothic" w:cs="Century Gothic"/>
          <w:color w:val="222222"/>
          <w:highlight w:val="white"/>
        </w:rPr>
      </w:pPr>
      <w:r>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Termin składania ofert: </w:t>
      </w:r>
      <w:r>
        <w:rPr>
          <w:rFonts w:eastAsia="Century Gothic" w:cs="Century Gothic" w:ascii="Century Gothic" w:hAnsi="Century Gothic"/>
        </w:rPr>
        <w:t>11</w:t>
      </w:r>
      <w:r>
        <w:rPr>
          <w:rFonts w:eastAsia="Century Gothic" w:cs="Century Gothic" w:ascii="Century Gothic" w:hAnsi="Century Gothic"/>
          <w:shd w:fill="FFFFFF" w:val="clear"/>
        </w:rPr>
        <w:t>.04.2025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37-25-advice</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InternetLink1">
    <w:name w:val="Internet Link1"/>
    <w:qFormat/>
    <w:rPr>
      <w:color w:val="000080"/>
      <w:u w:val="single"/>
    </w:rPr>
  </w:style>
  <w:style w:type="character" w:styleId="InternetLink2">
    <w:name w:val="Internet Link2"/>
    <w:qFormat/>
    <w:rPr>
      <w:color w:val="000080"/>
      <w:u w:val="single"/>
    </w:rPr>
  </w:style>
  <w:style w:type="character" w:styleId="InternetLink3">
    <w:name w:val="Internet Link3"/>
    <w:qFormat/>
    <w:rPr>
      <w:color w:val="000080"/>
      <w:u w:val="single"/>
    </w:rPr>
  </w:style>
  <w:style w:type="character" w:styleId="InternetLink4">
    <w:name w:val="Internet Link4"/>
    <w:qFormat/>
    <w:rPr>
      <w:color w:val="000080"/>
      <w:u w:val="single"/>
    </w:rPr>
  </w:style>
  <w:style w:type="character" w:styleId="InternetLink5">
    <w:name w:val="Internet Link5"/>
    <w:qFormat/>
    <w:rPr>
      <w:color w:val="000080"/>
      <w:u w:val="single"/>
    </w:rPr>
  </w:style>
  <w:style w:type="character" w:styleId="InternetLink6">
    <w:name w:val="Internet Link6"/>
    <w:qFormat/>
    <w:rPr>
      <w:color w:val="000080"/>
      <w:u w:val="single"/>
    </w:rPr>
  </w:style>
  <w:style w:type="character" w:styleId="Znakiwypunktowania">
    <w:name w:val="Znaki wypunktowania"/>
    <w:qFormat/>
    <w:rPr>
      <w:rFonts w:ascii="OpenSymbol" w:hAnsi="OpenSymbol" w:eastAsia="OpenSymbol" w:cs="OpenSymbol"/>
    </w:rPr>
  </w:style>
  <w:style w:type="character" w:styleId="InternetLink7">
    <w:name w:val="Internet Link7"/>
    <w:qFormat/>
    <w:rPr>
      <w:color w:val="000080"/>
      <w:u w:val="single"/>
    </w:rPr>
  </w:style>
  <w:style w:type="character" w:styleId="InternetLink8">
    <w:name w:val="Internet Link8"/>
    <w:qFormat/>
    <w:rPr>
      <w:color w:val="000080"/>
      <w:u w:val="single"/>
    </w:rPr>
  </w:style>
  <w:style w:type="character" w:styleId="InternetLink9">
    <w:name w:val="Internet Link9"/>
    <w:qFormat/>
    <w:rPr>
      <w:color w:val="000080"/>
      <w:u w:val="single"/>
    </w:rPr>
  </w:style>
  <w:style w:type="character" w:styleId="Hyperlink">
    <w:name w:val="Hyperlink"/>
    <w:rPr>
      <w:color w:val="000080"/>
      <w:u w:val="single"/>
    </w:rPr>
  </w:style>
  <w:style w:type="character" w:styleId="Emphasis">
    <w:name w:val="Emphasis"/>
    <w:qFormat/>
    <w:rPr>
      <w:i/>
      <w:iCs/>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37</TotalTime>
  <Application>LibreOffice/24.2.4.2$Windows_X86_64 LibreOffice_project/51a6219feb6075d9a4c46691dcfe0cd9c4fff3c2</Application>
  <AppVersion>15.0000</AppVersion>
  <Pages>3</Pages>
  <Words>608</Words>
  <Characters>4129</Characters>
  <CharactersWithSpaces>4751</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2025-04-03T14:20:58Z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