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entury Gothic" w:hAnsi="Century Gothic" w:eastAsia="Century Gothic" w:cs="Century Gothic"/>
        </w:rPr>
      </w:pPr>
      <w:r>
        <w:rPr/>
        <w:tab/>
        <w:t xml:space="preserve">                               </w:t>
        <w:tab/>
        <w:tab/>
        <w:tab/>
        <w:tab/>
        <w:tab/>
        <w:tab/>
      </w:r>
      <w:r>
        <w:rPr>
          <w:rFonts w:eastAsia="Century Gothic" w:cs="Century Gothic" w:ascii="Century Gothic" w:hAnsi="Century Gothic"/>
        </w:rPr>
        <w:t xml:space="preserve">Łódź, dn. </w:t>
      </w:r>
      <w:r>
        <w:rPr>
          <w:rFonts w:eastAsia="Century Gothic" w:cs="Century Gothic" w:ascii="Century Gothic" w:hAnsi="Century Gothic"/>
        </w:rPr>
        <w:t>16</w:t>
      </w:r>
      <w:r>
        <w:rPr>
          <w:rFonts w:eastAsia="Century Gothic" w:cs="Century Gothic" w:ascii="Century Gothic" w:hAnsi="Century Gothic"/>
        </w:rPr>
        <w:t>.07.2024 r.</w:t>
      </w:r>
    </w:p>
    <w:p>
      <w:pPr>
        <w:pStyle w:val="Normal"/>
        <w:spacing w:lineRule="auto" w:line="240" w:before="0" w:after="320"/>
        <w:jc w:val="center"/>
        <w:rPr>
          <w:rFonts w:ascii="Century Gothic" w:hAnsi="Century Gothic" w:eastAsia="Century Gothic" w:cs="Century Gothic"/>
          <w:b/>
          <w:sz w:val="28"/>
          <w:szCs w:val="28"/>
        </w:rPr>
      </w:pPr>
      <w:r>
        <w:rPr>
          <w:rFonts w:eastAsia="Century Gothic" w:cs="Century Gothic" w:ascii="Century Gothic" w:hAnsi="Century Gothic"/>
          <w:b/>
          <w:sz w:val="28"/>
          <w:szCs w:val="28"/>
        </w:rPr>
        <w:t xml:space="preserve">Rozeznanie rynku nr </w:t>
      </w:r>
      <w:r>
        <w:rPr>
          <w:rFonts w:eastAsia="Roboto" w:cs="Roboto" w:ascii="Roboto" w:hAnsi="Roboto"/>
          <w:b/>
          <w:color w:val="1F1F1F"/>
          <w:sz w:val="28"/>
          <w:szCs w:val="28"/>
          <w:highlight w:val="white"/>
        </w:rPr>
        <w:t>1</w:t>
      </w:r>
      <w:r>
        <w:rPr>
          <w:rFonts w:eastAsia="Roboto" w:cs="Roboto" w:ascii="Roboto" w:hAnsi="Roboto"/>
          <w:b/>
          <w:color w:val="1F1F1F"/>
          <w:sz w:val="28"/>
          <w:szCs w:val="28"/>
          <w:highlight w:val="white"/>
        </w:rPr>
        <w:t>6</w:t>
      </w:r>
      <w:r>
        <w:rPr>
          <w:rFonts w:eastAsia="Roboto" w:cs="Roboto" w:ascii="Roboto" w:hAnsi="Roboto"/>
          <w:b/>
          <w:color w:val="1F1F1F"/>
          <w:sz w:val="28"/>
          <w:szCs w:val="28"/>
          <w:highlight w:val="white"/>
        </w:rPr>
        <w:t>-24-</w:t>
      </w:r>
      <w:r>
        <w:rPr>
          <w:rFonts w:eastAsia="Roboto" w:cs="Roboto" w:ascii="Roboto" w:hAnsi="Roboto"/>
          <w:b/>
          <w:color w:val="1F1F1F"/>
          <w:sz w:val="28"/>
          <w:szCs w:val="28"/>
          <w:highlight w:val="white"/>
        </w:rPr>
        <w:t>in vivo</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color w:val="222222"/>
          <w:highlight w:val="white"/>
        </w:rPr>
        <w:t xml:space="preserve">Przedmiotem zamówienia </w:t>
      </w:r>
      <w:r>
        <w:rPr>
          <w:rFonts w:eastAsia="Century Gothic" w:cs="Century Gothic" w:ascii="Century Gothic" w:hAnsi="Century Gothic"/>
          <w:color w:val="222222"/>
          <w:highlight w:val="white"/>
        </w:rPr>
        <w:t>jest wykonanie doświadczenia</w:t>
      </w:r>
      <w:r>
        <w:rPr>
          <w:rFonts w:eastAsia="Century Gothic" w:cs="Century Gothic" w:ascii="Century Gothic" w:hAnsi="Century Gothic"/>
          <w:color w:val="222222"/>
          <w:highlight w:val="white"/>
        </w:rPr>
        <w:t xml:space="preserve"> </w:t>
      </w:r>
      <w:r>
        <w:rPr>
          <w:rFonts w:eastAsia="Century Gothic" w:cs="Century Gothic" w:ascii="Century Gothic" w:hAnsi="Century Gothic"/>
        </w:rPr>
        <w:t>na potrzeby realizacji Projektu komercyjnego w ramach Konkursu na rozwój medycyny celowanej lub personalizowanej na bazie produktów leczniczych opartych na kwasach nukleinowych i związkach drobnocząsteczkowych, dofinansowanego przez Agencję Badań Medycznych.</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rPr>
        <w:t>Zamawiający:</w:t>
      </w:r>
      <w:r>
        <w:rPr>
          <w:rFonts w:eastAsia="Century Gothic" w:cs="Century Gothic" w:ascii="Century Gothic" w:hAnsi="Century Gothic"/>
        </w:rPr>
        <w:t xml:space="preserve"> FiLeClo sp. z o.o., Al. Piłsudskiego 141, 92-318 Łódź, NIP 7282829858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sz w:val="28"/>
          <w:szCs w:val="28"/>
        </w:rPr>
      </w:pPr>
      <w:r>
        <w:rPr>
          <w:rFonts w:eastAsia="Century Gothic" w:cs="Century Gothic" w:ascii="Century Gothic" w:hAnsi="Century Gothic"/>
          <w:sz w:val="28"/>
          <w:szCs w:val="28"/>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Opis przedmiotu zamówienia</w:t>
      </w:r>
    </w:p>
    <w:p>
      <w:pPr>
        <w:pStyle w:val="Normal"/>
        <w:spacing w:lineRule="auto" w:line="240" w:before="0" w:after="0"/>
        <w:jc w:val="both"/>
        <w:rPr>
          <w:rFonts w:ascii="Century Gothic" w:hAnsi="Century Gothic" w:eastAsia="Century Gothic" w:cs="Century Gothic"/>
          <w:b/>
        </w:rPr>
      </w:pPr>
      <w:r>
        <w:rPr>
          <w:rFonts w:eastAsia="Century Gothic" w:cs="Century Gothic" w:ascii="Century Gothic" w:hAnsi="Century Gothic"/>
          <w:b/>
        </w:rPr>
      </w:r>
    </w:p>
    <w:p>
      <w:pPr>
        <w:pStyle w:val="Normal"/>
        <w:spacing w:lineRule="auto" w:line="240" w:before="0" w:after="0"/>
        <w:jc w:val="both"/>
        <w:rPr>
          <w:rFonts w:ascii="Century Gothic" w:hAnsi="Century Gothic"/>
        </w:rPr>
      </w:pPr>
      <w:r>
        <w:rPr>
          <w:rFonts w:eastAsia="Century Gothic" w:cs="Century Gothic" w:ascii="Century Gothic" w:hAnsi="Century Gothic"/>
          <w:color w:val="222222"/>
          <w:highlight w:val="white"/>
        </w:rPr>
        <w:t xml:space="preserve">Przedmiotem zamówienia </w:t>
      </w:r>
      <w:r>
        <w:rPr>
          <w:rFonts w:eastAsia="Century Gothic" w:cs="Century Gothic" w:ascii="Century Gothic" w:hAnsi="Century Gothic"/>
          <w:color w:val="222222"/>
          <w:highlight w:val="white"/>
        </w:rPr>
        <w:t>jest wykonanie doświadczenia.</w:t>
      </w:r>
      <w:r>
        <w:rPr>
          <w:rFonts w:eastAsia="Century Gothic" w:cs="Century Gothic" w:ascii="Century Gothic" w:hAnsi="Century Gothic"/>
          <w:b w:val="false"/>
          <w:bCs w:val="false"/>
          <w:color w:val="222222"/>
          <w:highlight w:val="white"/>
          <w:u w:val="none"/>
          <w:shd w:fill="FFFFFF" w:val="clear"/>
        </w:rPr>
        <w:t xml:space="preserve"> </w:t>
      </w:r>
      <w:r>
        <w:rPr>
          <w:rFonts w:eastAsia="Century Gothic" w:cs="Century Gothic" w:ascii="Century Gothic" w:hAnsi="Century Gothic"/>
          <w:b w:val="false"/>
          <w:bCs w:val="false"/>
          <w:color w:val="222222"/>
          <w:highlight w:val="white"/>
          <w:u w:val="none"/>
          <w:shd w:fill="FFFFFF" w:val="clear"/>
        </w:rPr>
        <w:t>Początek doświadczenia zaplanowany jest na 09.2024.</w:t>
      </w:r>
    </w:p>
    <w:p>
      <w:pPr>
        <w:pStyle w:val="Normal"/>
        <w:spacing w:lineRule="auto" w:line="240" w:before="0" w:after="0"/>
        <w:jc w:val="both"/>
        <w:rPr>
          <w:rFonts w:ascii="Century Gothic" w:hAnsi="Century Gothic"/>
        </w:rPr>
      </w:pPr>
      <w:r>
        <w:rPr>
          <w:rFonts w:ascii="Century Gothic" w:hAnsi="Century Gothic"/>
        </w:rPr>
      </w:r>
    </w:p>
    <w:p>
      <w:pPr>
        <w:pStyle w:val="Normal"/>
        <w:spacing w:lineRule="auto" w:line="240" w:before="0" w:after="0"/>
        <w:jc w:val="both"/>
        <w:rPr>
          <w:rFonts w:ascii="Century Gothic" w:hAnsi="Century Gothic"/>
        </w:rPr>
      </w:pPr>
      <w:r>
        <w:rPr>
          <w:rFonts w:eastAsia="Century Gothic" w:cs="Century Gothic" w:ascii="Century Gothic" w:hAnsi="Century Gothic"/>
          <w:b w:val="false"/>
          <w:bCs w:val="false"/>
          <w:color w:val="222222"/>
          <w:highlight w:val="white"/>
          <w:u w:val="none"/>
          <w:shd w:fill="FFFFFF" w:val="clear"/>
        </w:rPr>
        <w:t>W doświadczeniu zostanie użytych 6 grup myszy – 8 osobników każda.</w:t>
      </w:r>
    </w:p>
    <w:p>
      <w:pPr>
        <w:pStyle w:val="Normal"/>
        <w:spacing w:lineRule="auto" w:line="240" w:before="0" w:after="0"/>
        <w:jc w:val="both"/>
        <w:rPr>
          <w:rFonts w:ascii="Century Gothic" w:hAnsi="Century Gothic"/>
        </w:rPr>
      </w:pPr>
      <w:r>
        <w:rPr/>
      </w:r>
    </w:p>
    <w:p>
      <w:pPr>
        <w:pStyle w:val="Normal"/>
        <w:spacing w:lineRule="auto" w:line="240" w:before="0" w:after="0"/>
        <w:jc w:val="both"/>
        <w:rPr>
          <w:rFonts w:ascii="Century Gothic" w:hAnsi="Century Gothic"/>
        </w:rPr>
      </w:pPr>
      <w:r>
        <w:rPr>
          <w:rFonts w:eastAsia="Century Gothic" w:cs="Century Gothic" w:ascii="Century Gothic" w:hAnsi="Century Gothic"/>
          <w:b w:val="false"/>
          <w:bCs w:val="false"/>
          <w:color w:val="222222"/>
          <w:highlight w:val="white"/>
          <w:u w:val="none"/>
          <w:shd w:fill="FFFFFF" w:val="clear"/>
        </w:rPr>
        <w:t>1. 2 tyg. dieta standardowa + kontrola</w:t>
      </w:r>
    </w:p>
    <w:p>
      <w:pPr>
        <w:pStyle w:val="Normal"/>
        <w:spacing w:lineRule="auto" w:line="240" w:before="0" w:after="0"/>
        <w:jc w:val="both"/>
        <w:rPr>
          <w:rFonts w:ascii="Century Gothic" w:hAnsi="Century Gothic"/>
        </w:rPr>
      </w:pPr>
      <w:r>
        <w:rPr>
          <w:rFonts w:eastAsia="Century Gothic" w:cs="Century Gothic" w:ascii="Century Gothic" w:hAnsi="Century Gothic"/>
          <w:b w:val="false"/>
          <w:bCs w:val="false"/>
          <w:color w:val="222222"/>
          <w:highlight w:val="white"/>
          <w:u w:val="none"/>
          <w:shd w:fill="FFFFFF" w:val="clear"/>
        </w:rPr>
        <w:t>2. 2 tyg. dieta standardowa + substancja badana</w:t>
      </w:r>
    </w:p>
    <w:p>
      <w:pPr>
        <w:pStyle w:val="Normal"/>
        <w:spacing w:lineRule="auto" w:line="240" w:before="0" w:after="0"/>
        <w:jc w:val="both"/>
        <w:rPr>
          <w:rFonts w:ascii="Century Gothic" w:hAnsi="Century Gothic"/>
        </w:rPr>
      </w:pPr>
      <w:r>
        <w:rPr>
          <w:rFonts w:eastAsia="Century Gothic" w:cs="Century Gothic" w:ascii="Century Gothic" w:hAnsi="Century Gothic"/>
          <w:b w:val="false"/>
          <w:bCs w:val="false"/>
          <w:color w:val="222222"/>
          <w:highlight w:val="white"/>
          <w:u w:val="none"/>
          <w:shd w:fill="FFFFFF" w:val="clear"/>
        </w:rPr>
        <w:t>3. 2 tyg. dieta wysokotłuszczowa + kontrola</w:t>
      </w:r>
    </w:p>
    <w:p>
      <w:pPr>
        <w:pStyle w:val="Normal"/>
        <w:spacing w:lineRule="auto" w:line="240" w:before="0" w:after="0"/>
        <w:jc w:val="both"/>
        <w:rPr>
          <w:rFonts w:ascii="Century Gothic" w:hAnsi="Century Gothic"/>
        </w:rPr>
      </w:pPr>
      <w:r>
        <w:rPr>
          <w:rFonts w:eastAsia="Century Gothic" w:cs="Century Gothic" w:ascii="Century Gothic" w:hAnsi="Century Gothic"/>
          <w:b w:val="false"/>
          <w:bCs w:val="false"/>
          <w:color w:val="222222"/>
          <w:highlight w:val="white"/>
          <w:u w:val="none"/>
          <w:shd w:fill="FFFFFF" w:val="clear"/>
        </w:rPr>
        <w:t>4. 2 tyg. dieta wysokotłuszczowa + substancja badana</w:t>
      </w:r>
    </w:p>
    <w:p>
      <w:pPr>
        <w:pStyle w:val="Normal"/>
        <w:spacing w:lineRule="auto" w:line="240" w:before="0" w:after="0"/>
        <w:jc w:val="both"/>
        <w:rPr>
          <w:rFonts w:ascii="Century Gothic" w:hAnsi="Century Gothic"/>
        </w:rPr>
      </w:pPr>
      <w:r>
        <w:rPr>
          <w:rFonts w:eastAsia="Century Gothic" w:cs="Century Gothic" w:ascii="Century Gothic" w:hAnsi="Century Gothic"/>
          <w:b w:val="false"/>
          <w:bCs w:val="false"/>
          <w:color w:val="222222"/>
          <w:highlight w:val="white"/>
          <w:u w:val="none"/>
          <w:shd w:fill="FFFFFF" w:val="clear"/>
        </w:rPr>
        <w:t>5. 4 tyg. dieta wysokotłuszczowa + kontrola</w:t>
      </w:r>
    </w:p>
    <w:p>
      <w:pPr>
        <w:pStyle w:val="Normal"/>
        <w:spacing w:lineRule="auto" w:line="240" w:before="0" w:after="0"/>
        <w:jc w:val="both"/>
        <w:rPr>
          <w:rFonts w:ascii="Century Gothic" w:hAnsi="Century Gothic"/>
        </w:rPr>
      </w:pPr>
      <w:r>
        <w:rPr>
          <w:rFonts w:eastAsia="Century Gothic" w:cs="Century Gothic" w:ascii="Century Gothic" w:hAnsi="Century Gothic"/>
          <w:b w:val="false"/>
          <w:bCs w:val="false"/>
          <w:color w:val="222222"/>
          <w:highlight w:val="white"/>
          <w:u w:val="none"/>
          <w:shd w:fill="FFFFFF" w:val="clear"/>
        </w:rPr>
        <w:t>6. 4 tyg. dieta wysokotłuszczowa + substancja badana</w:t>
      </w:r>
    </w:p>
    <w:p>
      <w:pPr>
        <w:pStyle w:val="Normal"/>
        <w:spacing w:lineRule="auto" w:line="240" w:before="0" w:after="0"/>
        <w:jc w:val="both"/>
        <w:rPr>
          <w:rFonts w:ascii="Century Gothic" w:hAnsi="Century Gothic"/>
        </w:rPr>
      </w:pPr>
      <w:r>
        <w:rPr/>
      </w:r>
    </w:p>
    <w:p>
      <w:pPr>
        <w:pStyle w:val="Normal"/>
        <w:spacing w:lineRule="auto" w:line="240" w:before="0" w:after="0"/>
        <w:jc w:val="both"/>
        <w:rPr>
          <w:rFonts w:ascii="Century Gothic" w:hAnsi="Century Gothic"/>
        </w:rPr>
      </w:pPr>
      <w:r>
        <w:rPr>
          <w:rFonts w:eastAsia="Century Gothic" w:cs="Century Gothic" w:ascii="Century Gothic" w:hAnsi="Century Gothic"/>
          <w:b w:val="false"/>
          <w:bCs w:val="false"/>
          <w:color w:val="222222"/>
          <w:highlight w:val="white"/>
          <w:u w:val="none"/>
          <w:shd w:fill="FFFFFF" w:val="clear"/>
        </w:rPr>
        <w:t>Grupy 1-2 Badanie spadku masy ciała w warunkach normalnych</w:t>
      </w:r>
    </w:p>
    <w:p>
      <w:pPr>
        <w:pStyle w:val="Normal"/>
        <w:spacing w:lineRule="auto" w:line="240" w:before="0" w:after="0"/>
        <w:jc w:val="both"/>
        <w:rPr>
          <w:rFonts w:ascii="Century Gothic" w:hAnsi="Century Gothic"/>
        </w:rPr>
      </w:pPr>
      <w:r>
        <w:rPr>
          <w:rFonts w:eastAsia="Century Gothic" w:cs="Century Gothic" w:ascii="Century Gothic" w:hAnsi="Century Gothic"/>
          <w:b w:val="false"/>
          <w:bCs w:val="false"/>
          <w:color w:val="222222"/>
          <w:highlight w:val="white"/>
          <w:u w:val="none"/>
          <w:shd w:fill="FFFFFF" w:val="clear"/>
        </w:rPr>
        <w:t>Grupy 3-4 Zapobieganie wzrostowi masy ciała i rozwoju otyłości</w:t>
      </w:r>
    </w:p>
    <w:p>
      <w:pPr>
        <w:pStyle w:val="Normal"/>
        <w:spacing w:lineRule="auto" w:line="240" w:before="0" w:after="0"/>
        <w:jc w:val="both"/>
        <w:rPr>
          <w:rFonts w:ascii="Century Gothic" w:hAnsi="Century Gothic"/>
        </w:rPr>
      </w:pPr>
      <w:r>
        <w:rPr>
          <w:rFonts w:eastAsia="Century Gothic" w:cs="Century Gothic" w:ascii="Century Gothic" w:hAnsi="Century Gothic"/>
          <w:b w:val="false"/>
          <w:bCs w:val="false"/>
          <w:color w:val="222222"/>
          <w:highlight w:val="white"/>
          <w:u w:val="none"/>
          <w:shd w:fill="FFFFFF" w:val="clear"/>
        </w:rPr>
        <w:t>Grupy 5-6 Spadek masy ciała w warunkach otyłości.</w:t>
      </w:r>
    </w:p>
    <w:p>
      <w:pPr>
        <w:pStyle w:val="Normal"/>
        <w:spacing w:lineRule="auto" w:line="240" w:before="0" w:after="0"/>
        <w:jc w:val="both"/>
        <w:rPr>
          <w:rFonts w:ascii="Century Gothic" w:hAnsi="Century Gothic"/>
        </w:rPr>
      </w:pPr>
      <w:r>
        <w:rPr/>
      </w:r>
    </w:p>
    <w:p>
      <w:pPr>
        <w:pStyle w:val="Normal"/>
        <w:spacing w:lineRule="auto" w:line="240" w:before="0" w:after="0"/>
        <w:jc w:val="both"/>
        <w:rPr>
          <w:rFonts w:ascii="Century Gothic" w:hAnsi="Century Gothic"/>
        </w:rPr>
      </w:pPr>
      <w:r>
        <w:rPr>
          <w:rFonts w:eastAsia="Century Gothic" w:cs="Century Gothic" w:ascii="Century Gothic" w:hAnsi="Century Gothic"/>
          <w:b w:val="false"/>
          <w:bCs w:val="false"/>
          <w:color w:val="222222"/>
          <w:highlight w:val="white"/>
          <w:u w:val="none"/>
          <w:shd w:fill="FFFFFF" w:val="clear"/>
        </w:rPr>
        <w:t>Po przejściu kwarantanny i aklimatyzacji zwierzęta będą miały dostęp do diety standardowej lub wysokotłuszczowej przez 8-12 tygodni w zależności od wystąpienia otyłości i zaburzeń metabolicznych (procedury 1 i 2).</w:t>
      </w:r>
    </w:p>
    <w:p>
      <w:pPr>
        <w:pStyle w:val="Normal"/>
        <w:spacing w:lineRule="auto" w:line="240" w:before="0" w:after="0"/>
        <w:jc w:val="both"/>
        <w:rPr>
          <w:rFonts w:ascii="Century Gothic" w:hAnsi="Century Gothic"/>
        </w:rPr>
      </w:pPr>
      <w:r>
        <w:rPr/>
      </w:r>
    </w:p>
    <w:p>
      <w:pPr>
        <w:pStyle w:val="Normal"/>
        <w:spacing w:lineRule="auto" w:line="240" w:before="0" w:after="0"/>
        <w:jc w:val="both"/>
        <w:rPr>
          <w:rFonts w:ascii="Century Gothic" w:hAnsi="Century Gothic"/>
        </w:rPr>
      </w:pPr>
      <w:r>
        <w:rPr>
          <w:rFonts w:eastAsia="Century Gothic" w:cs="Century Gothic" w:ascii="Century Gothic" w:hAnsi="Century Gothic"/>
          <w:b w:val="false"/>
          <w:bCs w:val="false"/>
          <w:color w:val="222222"/>
          <w:highlight w:val="white"/>
          <w:u w:val="none"/>
          <w:shd w:fill="FFFFFF" w:val="clear"/>
        </w:rPr>
        <w:t>Odpowiedź organizmu na substancję badana będzie oceniania przez zmiany masy ciała wyrażone jako spadek masy ciała po indukcji otyłości dietą High Fat Diet (HFD) lub przez zmniejszone przybieranie na masie w trakcie traktowania zwierząt dietą HFD. Grupa z dietą normalną (ND) stanowi układ odniesienia dla HFD a jednocześnie ma zapewnić, że związek nie będzie powodował spadku masy ciała poniżej norm fizjologicznych.</w:t>
      </w:r>
    </w:p>
    <w:p>
      <w:pPr>
        <w:pStyle w:val="Normal"/>
        <w:spacing w:lineRule="auto" w:line="240" w:before="0" w:after="0"/>
        <w:jc w:val="both"/>
        <w:rPr>
          <w:rFonts w:ascii="Century Gothic" w:hAnsi="Century Gothic"/>
        </w:rPr>
      </w:pPr>
      <w:r>
        <w:rPr/>
      </w:r>
    </w:p>
    <w:p>
      <w:pPr>
        <w:pStyle w:val="Normal"/>
        <w:spacing w:lineRule="auto" w:line="240" w:before="0" w:after="0"/>
        <w:jc w:val="both"/>
        <w:rPr>
          <w:rFonts w:ascii="Century Gothic" w:hAnsi="Century Gothic"/>
        </w:rPr>
      </w:pPr>
      <w:r>
        <w:rPr>
          <w:rFonts w:eastAsia="Century Gothic" w:cs="Century Gothic" w:ascii="Century Gothic" w:hAnsi="Century Gothic"/>
          <w:b w:val="false"/>
          <w:bCs w:val="false"/>
          <w:color w:val="222222"/>
          <w:highlight w:val="white"/>
          <w:u w:val="none"/>
          <w:shd w:fill="FFFFFF" w:val="clear"/>
        </w:rPr>
        <w:t>Planowane jest pobranie tkanek po zakończeniu badania (White Adipose Tissue), WAT nerkowy, WAT jędrowy, Brown Adipose Tissue, serce, wątroba.</w:t>
      </w:r>
    </w:p>
    <w:p>
      <w:pPr>
        <w:pStyle w:val="Normal"/>
        <w:spacing w:lineRule="auto" w:line="240" w:before="0" w:after="0"/>
        <w:jc w:val="both"/>
        <w:rPr/>
      </w:pPr>
      <w:r>
        <w:rPr/>
      </w:r>
    </w:p>
    <w:p>
      <w:pPr>
        <w:pStyle w:val="Normal"/>
        <w:numPr>
          <w:ilvl w:val="0"/>
          <w:numId w:val="3"/>
        </w:numPr>
        <w:spacing w:lineRule="auto" w:line="240" w:before="0" w:after="0"/>
        <w:ind w:hanging="360" w:left="72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t>Warunki udziału w rozeznaniu</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r>
      <w:bookmarkStart w:id="0" w:name="_heading=h.tr7i1vfvm27e"/>
      <w:bookmarkStart w:id="1" w:name="_heading=h.tr7i1vfvm27e"/>
      <w:bookmarkEnd w:id="1"/>
    </w:p>
    <w:p>
      <w:pPr>
        <w:pStyle w:val="Normal"/>
        <w:spacing w:lineRule="auto" w:line="240" w:before="0" w:after="320"/>
        <w:jc w:val="both"/>
        <w:rPr>
          <w:rFonts w:ascii="Century Gothic" w:hAnsi="Century Gothic" w:eastAsia="Century Gothic" w:cs="Century Gothic"/>
          <w:b/>
        </w:rPr>
      </w:pPr>
      <w:bookmarkStart w:id="2" w:name="_heading=h.tus9afu7643n"/>
      <w:bookmarkEnd w:id="2"/>
      <w:r>
        <w:rPr>
          <w:rFonts w:eastAsia="Century Gothic" w:cs="Century Gothic" w:ascii="Century Gothic" w:hAnsi="Century Gothic"/>
          <w:b/>
        </w:rPr>
        <w:t>Sytuacja ekonomiczna i finansowa</w:t>
      </w:r>
    </w:p>
    <w:p>
      <w:pPr>
        <w:pStyle w:val="Normal"/>
        <w:spacing w:lineRule="auto" w:line="240" w:before="0" w:after="0"/>
        <w:jc w:val="both"/>
        <w:rPr>
          <w:rFonts w:ascii="Century Gothic" w:hAnsi="Century Gothic" w:eastAsia="Century Gothic" w:cs="Century Gothic"/>
        </w:rPr>
      </w:pPr>
      <w:bookmarkStart w:id="3" w:name="_heading=h.1pxezwc"/>
      <w:bookmarkEnd w:id="3"/>
      <w:r>
        <w:rPr>
          <w:rFonts w:eastAsia="Century Gothic" w:cs="Century Gothic" w:ascii="Century Gothic" w:hAnsi="Century Gothic"/>
        </w:rPr>
        <w:t>W postępowaniu mogą wziąć udział podmioty, które znajdują̨ się̨ w sytuacji finansowej zapewniającej realizację przedmiotu zamówienia oraz wobec których nie wszczęto postępowania o ogłoszenie upadłości/likwidacji lub co do których nie ogłoszono upadłości/likwidacji.</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r>
        <w:rPr>
          <w:rFonts w:eastAsia="Century Gothic" w:cs="Century Gothic" w:ascii="Century Gothic" w:hAnsi="Century Gothic"/>
          <w:b/>
        </w:rPr>
        <w:t>Dodatkowe warunki</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Zamawiający zastrzega sobie prawo do unieważnienia rozeznania bez podania przyczyny.</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przypadku unieważnienia rozeznania oferentom nie przysługuje roszczenie o zwrot kosztów uczestnictwa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Odstąpienie przez zamawiającego od zawarcia umowy w przypadku zawiadomienia oferenta o wyborze jego oferty nie może być podstawą roszczeń poniesionych kosztów udziału w postępowaniu.</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 toku dokonywania oceny złożonych ofert zamawiający może prosić o udzielenie przez oferentów wyjaśnień dotyczących treści złożonych przez nich dokumentów.</w:t>
      </w:r>
    </w:p>
    <w:p>
      <w:pPr>
        <w:pStyle w:val="Normal"/>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Zamawiający zastrzega sobie prawo do negocjacji ofert z oferentem, którego oferta zdobyła największą liczbę punktów, zwłaszcza gdy cena oferowana przez oferenta przekracza budżet przeznaczony przez zamawiającego na realizację danego zamówienia. </w:t>
      </w:r>
    </w:p>
    <w:p>
      <w:pPr>
        <w:pStyle w:val="Normal"/>
        <w:widowControl w:val="false"/>
        <w:numPr>
          <w:ilvl w:val="0"/>
          <w:numId w:val="4"/>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Ważność złożonej oferty przez okres 14 dni od upływu terminu składania ofert.</w:t>
      </w:r>
    </w:p>
    <w:p>
      <w:pPr>
        <w:pStyle w:val="Normal"/>
        <w:widowControl w:val="false"/>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320"/>
        <w:ind w:hanging="0" w:left="9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4" w:name="_heading=h.1ci93xb"/>
      <w:bookmarkEnd w:id="4"/>
      <w:r>
        <w:rPr>
          <w:rFonts w:eastAsia="Century Gothic" w:cs="Century Gothic" w:ascii="Century Gothic" w:hAnsi="Century Gothic"/>
          <w:b/>
        </w:rPr>
        <w:t>Warunki zmiany umowy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Zamawiający podpisze z wybranym oferentem umowę na realizację usługi w terminie nie dłuższym niż 14 dni od dnia zakończenia procedury wyboru. </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Zamawiający zastrzega sobie możliwość zmiany umowy zawartej z oferentem wybranym w wyniku niniejszego zapytania ofertowego, z następujących powodów:</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okoliczności siły wyższej, np. wystąpienia zdarzenia losowego wywołanego przez czynniki zewnętrzne, którego nie można było przewidzieć z pewnością, w szczególności zagrażającego bezpośrednio życiu lub zdrowiu ludzi lub grożącego powstaniem szkody w znacznych rozmiarach;</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działań osób trzecich uniemożliwiających wykonanie prac, które to działania nie są konsekwencją winy którejkolwiek ze stron umowy. Każdorazowo, zmiana terminu wykonania zamówienia uzależniona jest od jej akceptacji przez zamawiającego oraz ewentualnie Instytucję Pośredniczącą w finansowaniu projektu (zgodnie z postanowieniami umowy o dofinansowanie);</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zaistnienia innej, niemożliwej do przewidzenia w momencie zawarcia umowy okoliczności prawnej, ekonomicznej lub technicznej, za którą żadna ze stron nie ponosi odpowiedzialności, skutkująca brakiem możliwości należytego wykonania umowy, zgodnie z zapisami zapytania ofertowego;</w:t>
      </w:r>
    </w:p>
    <w:p>
      <w:pPr>
        <w:pStyle w:val="Normal"/>
        <w:numPr>
          <w:ilvl w:val="0"/>
          <w:numId w:val="5"/>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zmian regulacji prawnych obowiązujących w dniu podpisania umowy.</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shd w:val="clear" w:fill="FFFFFF"/>
        <w:spacing w:lineRule="auto" w:line="276" w:before="0" w:after="220"/>
        <w:jc w:val="both"/>
        <w:rPr>
          <w:rFonts w:ascii="Century Gothic" w:hAnsi="Century Gothic" w:eastAsia="Century Gothic" w:cs="Century Gothic"/>
          <w:b/>
        </w:rPr>
      </w:pPr>
      <w:bookmarkStart w:id="5" w:name="_heading=h.3whwml4"/>
      <w:bookmarkEnd w:id="5"/>
      <w:r>
        <w:rPr>
          <w:rFonts w:eastAsia="Century Gothic" w:cs="Century Gothic" w:ascii="Century Gothic" w:hAnsi="Century Gothic"/>
          <w:b/>
        </w:rPr>
        <w:t>Lista dokumentów/oświadczeń wymaganych od Wykonawcy</w:t>
      </w:r>
    </w:p>
    <w:p>
      <w:pPr>
        <w:pStyle w:val="Normal"/>
        <w:spacing w:lineRule="auto" w:line="240" w:before="0" w:after="320"/>
        <w:jc w:val="both"/>
        <w:rPr>
          <w:rFonts w:ascii="Century Gothic" w:hAnsi="Century Gothic" w:eastAsia="Century Gothic" w:cs="Century Gothic"/>
        </w:rPr>
      </w:pPr>
      <w:r>
        <w:rPr>
          <w:rFonts w:eastAsia="Century Gothic" w:cs="Century Gothic" w:ascii="Century Gothic" w:hAnsi="Century Gothic"/>
        </w:rPr>
        <w:t xml:space="preserve">Załącznik nr 1 – Formularz oferty </w:t>
      </w:r>
    </w:p>
    <w:p>
      <w:pPr>
        <w:pStyle w:val="Normal"/>
        <w:spacing w:lineRule="auto" w:line="240" w:before="0" w:after="320"/>
        <w:jc w:val="both"/>
        <w:rPr>
          <w:rFonts w:ascii="Century Gothic" w:hAnsi="Century Gothic" w:eastAsia="Century Gothic" w:cs="Century Gothic"/>
          <w:b/>
        </w:rPr>
      </w:pPr>
      <w:r>
        <w:rPr>
          <w:rFonts w:eastAsia="Century Gothic" w:cs="Century Gothic" w:ascii="Century Gothic" w:hAnsi="Century Gothic"/>
          <w:b/>
        </w:rPr>
        <w:t>Zamówienia uzupełniające</w:t>
      </w:r>
    </w:p>
    <w:p>
      <w:pPr>
        <w:pStyle w:val="Normal"/>
        <w:spacing w:lineRule="auto" w:line="240" w:before="0" w:after="320"/>
        <w:jc w:val="both"/>
        <w:rPr>
          <w:rFonts w:ascii="Century Gothic" w:hAnsi="Century Gothic" w:eastAsia="Century Gothic" w:cs="Century Gothic"/>
        </w:rPr>
      </w:pPr>
      <w:bookmarkStart w:id="6" w:name="_heading=h.2bn6wsx"/>
      <w:bookmarkEnd w:id="6"/>
      <w:r>
        <w:rPr>
          <w:rFonts w:eastAsia="Century Gothic" w:cs="Century Gothic" w:ascii="Century Gothic" w:hAnsi="Century Gothic"/>
        </w:rPr>
        <w:t>Możliwe jest składanie uzupełniających zamówień wybranemu oferentowi wyłącznie, jeśli są one zgodne z głównym celem tego zamówienia, o wartości nie przekraczającej 50% wartości niniejszego zamówienia.</w:t>
      </w:r>
    </w:p>
    <w:p>
      <w:pPr>
        <w:pStyle w:val="Normal"/>
        <w:spacing w:lineRule="auto" w:line="240" w:before="0" w:after="0"/>
        <w:jc w:val="both"/>
        <w:rPr>
          <w:rFonts w:ascii="Century Gothic" w:hAnsi="Century Gothic" w:eastAsia="Century Gothic" w:cs="Century Gothic"/>
          <w:b/>
          <w:sz w:val="28"/>
          <w:szCs w:val="28"/>
        </w:rPr>
      </w:pPr>
      <w:r>
        <w:rPr>
          <w:rFonts w:eastAsia="Century Gothic" w:cs="Century Gothic" w:ascii="Century Gothic" w:hAnsi="Century Gothic"/>
          <w:b/>
          <w:sz w:val="28"/>
          <w:szCs w:val="28"/>
        </w:rPr>
      </w:r>
    </w:p>
    <w:p>
      <w:pPr>
        <w:pStyle w:val="Normal"/>
        <w:numPr>
          <w:ilvl w:val="0"/>
          <w:numId w:val="3"/>
        </w:numPr>
        <w:spacing w:lineRule="auto" w:line="276" w:before="0" w:after="0"/>
        <w:ind w:hanging="360" w:left="720"/>
        <w:jc w:val="both"/>
        <w:rPr>
          <w:rFonts w:ascii="Century Gothic" w:hAnsi="Century Gothic" w:eastAsia="Century Gothic" w:cs="Century Gothic"/>
          <w:b/>
          <w:sz w:val="28"/>
          <w:szCs w:val="28"/>
        </w:rPr>
      </w:pPr>
      <w:bookmarkStart w:id="7" w:name="_heading=h.3znysh7"/>
      <w:bookmarkEnd w:id="7"/>
      <w:r>
        <w:rPr>
          <w:rFonts w:eastAsia="Century Gothic" w:cs="Century Gothic" w:ascii="Century Gothic" w:hAnsi="Century Gothic"/>
          <w:b/>
          <w:sz w:val="28"/>
          <w:szCs w:val="28"/>
        </w:rPr>
        <w:t>Miejsce i sposób składania ofert</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Termin składania ofert: 2</w:t>
      </w:r>
      <w:r>
        <w:rPr>
          <w:rFonts w:eastAsia="Century Gothic" w:cs="Century Gothic" w:ascii="Century Gothic" w:hAnsi="Century Gothic"/>
        </w:rPr>
        <w:t>6</w:t>
      </w:r>
      <w:r>
        <w:rPr>
          <w:rFonts w:eastAsia="Century Gothic" w:cs="Century Gothic" w:ascii="Century Gothic" w:hAnsi="Century Gothic"/>
        </w:rPr>
        <w:t>.07</w:t>
      </w:r>
      <w:r>
        <w:rPr>
          <w:rFonts w:eastAsia="Century Gothic" w:cs="Century Gothic" w:ascii="Century Gothic" w:hAnsi="Century Gothic"/>
          <w:shd w:fill="FFFFFF" w:val="clear"/>
        </w:rPr>
        <w:t>.2024 r.</w:t>
      </w:r>
      <w:r>
        <w:rPr>
          <w:rFonts w:eastAsia="Century Gothic" w:cs="Century Gothic" w:ascii="Century Gothic" w:hAnsi="Century Gothic"/>
        </w:rPr>
        <w:t xml:space="preserve"> Oferty złożone po terminie nie będą rozpatrywane.</w:t>
      </w:r>
    </w:p>
    <w:p>
      <w:pPr>
        <w:pStyle w:val="Normal"/>
        <w:numPr>
          <w:ilvl w:val="0"/>
          <w:numId w:val="1"/>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 xml:space="preserve">Ofertę wraz wymaganymi załącznikami należy składać w formie elektronicznej na adres mailowy: </w:t>
      </w:r>
      <w:hyperlink r:id="rId2">
        <w:r>
          <w:rPr>
            <w:rStyle w:val="Hyperlink"/>
            <w:rFonts w:eastAsia="Century Gothic" w:cs="Century Gothic" w:ascii="Century Gothic" w:hAnsi="Century Gothic"/>
            <w:color w:val="0000FF"/>
            <w:u w:val="single"/>
          </w:rPr>
          <w:t>granty@fileclo.pl</w:t>
        </w:r>
      </w:hyperlink>
      <w:r>
        <w:rPr>
          <w:rFonts w:eastAsia="Century Gothic" w:cs="Century Gothic" w:ascii="Century Gothic" w:hAnsi="Century Gothic"/>
        </w:rPr>
        <w:t xml:space="preserve"> lub </w:t>
      </w:r>
      <w:hyperlink r:id="rId3">
        <w:r>
          <w:rPr>
            <w:rStyle w:val="Hyperlink"/>
            <w:rFonts w:eastAsia="Century Gothic" w:cs="Century Gothic" w:ascii="Century Gothic" w:hAnsi="Century Gothic"/>
          </w:rPr>
          <w:t>pilaszek@trimen.pl</w:t>
        </w:r>
      </w:hyperlink>
      <w:r>
        <w:rPr>
          <w:rFonts w:eastAsia="Century Gothic" w:cs="Century Gothic" w:ascii="Century Gothic" w:hAnsi="Century Gothic"/>
        </w:rPr>
        <w:t xml:space="preserve"> W tytule wiadomości należy podać numer zapytania ofertowego tj. </w:t>
      </w:r>
      <w:r>
        <w:rPr>
          <w:rFonts w:eastAsia="Roboto" w:cs="Roboto" w:ascii="Roboto" w:hAnsi="Roboto"/>
          <w:b/>
          <w:color w:val="1F1F1F"/>
          <w:highlight w:val="white"/>
        </w:rPr>
        <w:t>1</w:t>
      </w:r>
      <w:r>
        <w:rPr>
          <w:rFonts w:eastAsia="Roboto" w:cs="Roboto" w:ascii="Roboto" w:hAnsi="Roboto"/>
          <w:b/>
          <w:color w:val="1F1F1F"/>
          <w:highlight w:val="white"/>
        </w:rPr>
        <w:t>6</w:t>
      </w:r>
      <w:r>
        <w:rPr>
          <w:rFonts w:eastAsia="Roboto" w:cs="Roboto" w:ascii="Roboto" w:hAnsi="Roboto"/>
          <w:b/>
          <w:color w:val="1F1F1F"/>
          <w:highlight w:val="white"/>
        </w:rPr>
        <w:t>-24-</w:t>
      </w:r>
      <w:r>
        <w:rPr>
          <w:rFonts w:eastAsia="Roboto" w:cs="Roboto" w:ascii="Roboto" w:hAnsi="Roboto"/>
          <w:b/>
          <w:color w:val="1F1F1F"/>
          <w:highlight w:val="white"/>
        </w:rPr>
        <w:t>in vivo</w:t>
      </w:r>
    </w:p>
    <w:p>
      <w:pPr>
        <w:pStyle w:val="Normal"/>
        <w:numPr>
          <w:ilvl w:val="0"/>
          <w:numId w:val="1"/>
        </w:numPr>
        <w:shd w:val="clear" w:fill="FFFFFF"/>
        <w:spacing w:lineRule="auto" w:line="276" w:before="0" w:after="220"/>
        <w:ind w:hanging="360" w:left="720"/>
        <w:jc w:val="both"/>
        <w:rPr>
          <w:rFonts w:ascii="Century Gothic" w:hAnsi="Century Gothic" w:eastAsia="Century Gothic" w:cs="Century Gothic"/>
        </w:rPr>
      </w:pPr>
      <w:bookmarkStart w:id="8" w:name="_heading=h.tyjcwt"/>
      <w:bookmarkEnd w:id="8"/>
      <w:r>
        <w:rPr>
          <w:rFonts w:eastAsia="Century Gothic" w:cs="Century Gothic" w:ascii="Century Gothic" w:hAnsi="Century Gothic"/>
        </w:rPr>
        <w:t xml:space="preserve">Osoba do kontaktu w sprawie ogłoszenia: Przemysław Pilaszek, </w:t>
      </w:r>
      <w:r>
        <w:rPr>
          <w:rFonts w:eastAsia="Century Gothic" w:cs="Century Gothic" w:ascii="Century Gothic" w:hAnsi="Century Gothic"/>
          <w:highlight w:val="white"/>
        </w:rPr>
        <w:t>+48 602 306 668</w:t>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b/>
          <w:sz w:val="28"/>
          <w:szCs w:val="28"/>
        </w:rPr>
        <w:t>4. Kryterium oceny oferty</w:t>
      </w:r>
      <w:r>
        <w:rPr>
          <w:rFonts w:eastAsia="Century Gothic" w:cs="Century Gothic" w:ascii="Century Gothic" w:hAnsi="Century Gothic"/>
          <w:sz w:val="28"/>
          <w:szCs w:val="28"/>
        </w:rPr>
        <w:tab/>
      </w:r>
      <w:r>
        <w:rPr>
          <w:rFonts w:eastAsia="Century Gothic" w:cs="Century Gothic" w:ascii="Century Gothic" w:hAnsi="Century Gothic"/>
        </w:rPr>
        <w:tab/>
      </w:r>
    </w:p>
    <w:p>
      <w:pPr>
        <w:pStyle w:val="Normal"/>
        <w:spacing w:lineRule="auto" w:line="240" w:before="0" w:after="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0" w:left="0"/>
        <w:jc w:val="both"/>
        <w:rPr>
          <w:rFonts w:ascii="Century Gothic" w:hAnsi="Century Gothic" w:eastAsia="Century Gothic" w:cs="Century Gothic"/>
        </w:rPr>
      </w:pPr>
      <w:r>
        <w:rPr>
          <w:rFonts w:eastAsia="Century Gothic" w:cs="Century Gothic" w:ascii="Century Gothic" w:hAnsi="Century Gothic"/>
        </w:rPr>
        <w:t xml:space="preserve">Cena netto najniższej oferty/cena netto oferty badanej x 100 % = ilość punktów </w:t>
      </w:r>
    </w:p>
    <w:p>
      <w:pPr>
        <w:pStyle w:val="Normal"/>
        <w:spacing w:lineRule="auto" w:line="240" w:before="0" w:after="0"/>
        <w:ind w:firstLine="72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ab/>
        <w:tab/>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Za najkorzystniejszą zostanie uznana oferta, która uzyska najwyższą ilość punktów.</w:t>
      </w:r>
    </w:p>
    <w:p>
      <w:pPr>
        <w:pStyle w:val="Normal"/>
        <w:spacing w:lineRule="auto" w:line="240" w:before="0" w:after="0"/>
        <w:ind w:hanging="0" w:left="720"/>
        <w:jc w:val="both"/>
        <w:rPr>
          <w:rFonts w:ascii="Century Gothic" w:hAnsi="Century Gothic" w:eastAsia="Century Gothic" w:cs="Century Gothic"/>
        </w:rPr>
      </w:pPr>
      <w:r>
        <w:rPr>
          <w:rFonts w:eastAsia="Century Gothic" w:cs="Century Gothic" w:ascii="Century Gothic" w:hAnsi="Century Gothic"/>
        </w:rPr>
      </w:r>
    </w:p>
    <w:p>
      <w:pPr>
        <w:pStyle w:val="Normal"/>
        <w:numPr>
          <w:ilvl w:val="0"/>
          <w:numId w:val="2"/>
        </w:numPr>
        <w:spacing w:lineRule="auto" w:line="240" w:before="0" w:after="0"/>
        <w:ind w:hanging="360" w:left="720"/>
        <w:jc w:val="both"/>
        <w:rPr>
          <w:rFonts w:ascii="Century Gothic" w:hAnsi="Century Gothic" w:eastAsia="Century Gothic" w:cs="Century Gothic"/>
        </w:rPr>
      </w:pPr>
      <w:r>
        <w:rPr>
          <w:rFonts w:eastAsia="Century Gothic" w:cs="Century Gothic" w:ascii="Century Gothic" w:hAnsi="Century Gothic"/>
        </w:rPr>
        <w:t>Jeżeli dwie lub więcej ofert otrzymają taką samą liczbę̨ punktów, zamawiający przeprowadzi z oferentami negocjacje cenowe i wybierze ofertę najkorzystniejszą cenowo.</w:t>
      </w:r>
    </w:p>
    <w:p>
      <w:pPr>
        <w:pStyle w:val="Normal"/>
        <w:shd w:val="clear" w:fill="FFFFFF"/>
        <w:spacing w:lineRule="auto" w:line="240" w:before="0" w:after="0"/>
        <w:ind w:hanging="0" w:left="810"/>
        <w:jc w:val="both"/>
        <w:rPr>
          <w:rFonts w:ascii="Century Gothic" w:hAnsi="Century Gothic" w:eastAsia="Century Gothic" w:cs="Century Gothic"/>
        </w:rPr>
      </w:pPr>
      <w:r>
        <w:rPr>
          <w:rFonts w:eastAsia="Century Gothic" w:cs="Century Gothic" w:ascii="Century Gothic" w:hAnsi="Century Gothic"/>
        </w:rPr>
      </w:r>
    </w:p>
    <w:p>
      <w:pPr>
        <w:pStyle w:val="Normal"/>
        <w:spacing w:lineRule="auto" w:line="240" w:before="0" w:after="0"/>
        <w:ind w:hanging="720" w:left="714"/>
        <w:jc w:val="both"/>
        <w:rPr>
          <w:rFonts w:ascii="Century Gothic" w:hAnsi="Century Gothic" w:eastAsia="Century Gothic" w:cs="Century Gothic"/>
        </w:rPr>
      </w:pPr>
      <w:r>
        <w:rPr>
          <w:rFonts w:eastAsia="Century Gothic" w:cs="Century Gothic" w:ascii="Century Gothic" w:hAnsi="Century Gothic"/>
        </w:rPr>
      </w:r>
    </w:p>
    <w:p>
      <w:pPr>
        <w:pStyle w:val="Normal"/>
        <w:widowControl/>
        <w:bidi w:val="0"/>
        <w:spacing w:lineRule="auto" w:line="259" w:before="0" w:after="160"/>
        <w:jc w:val="left"/>
        <w:rPr/>
      </w:pPr>
      <w:r>
        <w:rPr/>
      </w:r>
    </w:p>
    <w:sectPr>
      <w:headerReference w:type="even" r:id="rId4"/>
      <w:headerReference w:type="default" r:id="rId5"/>
      <w:headerReference w:type="first" r:id="rId6"/>
      <w:type w:val="nextPage"/>
      <w:pgSz w:w="11906" w:h="16838"/>
      <w:pgMar w:left="1080" w:right="1080" w:gutter="0" w:header="454"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Century Gothic">
    <w:charset w:val="00"/>
    <w:family w:val="roman"/>
    <w:pitch w:val="variable"/>
  </w:font>
  <w:font w:name="Roboto">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1"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keepNext w:val="false"/>
      <w:keepLines w:val="false"/>
      <w:widowControl/>
      <w:shd w:val="clear" w:fill="auto"/>
      <w:tabs>
        <w:tab w:val="clear" w:pos="720"/>
        <w:tab w:val="center" w:pos="4536" w:leader="none"/>
        <w:tab w:val="right" w:pos="9072" w:leader="none"/>
      </w:tabs>
      <w:spacing w:lineRule="auto" w:line="240" w:before="0" w:after="0"/>
      <w:ind w:hanging="0" w:left="0" w:right="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ab/>
      <w:t xml:space="preserve">               </w:t>
    </w:r>
    <w:r>
      <w:rPr/>
      <w:drawing>
        <wp:inline distT="0" distB="0" distL="0" distR="0">
          <wp:extent cx="3597275" cy="960755"/>
          <wp:effectExtent l="0" t="0" r="0" b="0"/>
          <wp:docPr id="2" name="image1.png" descr="Obraz zawierający tekst, logo, Czcion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Obraz zawierający tekst, logo, Czcionka, symbol&#10;&#10;Opis wygenerowany automatycznie"/>
                  <pic:cNvPicPr>
                    <a:picLocks noChangeAspect="1" noChangeArrowheads="1"/>
                  </pic:cNvPicPr>
                </pic:nvPicPr>
                <pic:blipFill>
                  <a:blip r:embed="rId1"/>
                  <a:stretch>
                    <a:fillRect/>
                  </a:stretch>
                </pic:blipFill>
                <pic:spPr bwMode="auto">
                  <a:xfrm>
                    <a:off x="0" y="0"/>
                    <a:ext cx="3597275" cy="9607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rPr>
        <w:u w:val="none"/>
      </w:rPr>
    </w:lvl>
    <w:lvl w:ilvl="1">
      <w:start w:val="1"/>
      <w:numFmt w:val="lowerRoman"/>
      <w:lvlText w:val="%2."/>
      <w:lvlJc w:val="righ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lowerRoman"/>
      <w:lvlText w:val="%5."/>
      <w:lvlJc w:val="right"/>
      <w:pPr>
        <w:tabs>
          <w:tab w:val="num" w:pos="0"/>
        </w:tabs>
        <w:ind w:left="3600" w:hanging="360"/>
      </w:pPr>
      <w:rPr>
        <w:u w:val="none"/>
      </w:rPr>
    </w:lvl>
    <w:lvl w:ilvl="5">
      <w:start w:val="1"/>
      <w:numFmt w:val="decimal"/>
      <w:lvlText w:val="%6."/>
      <w:lvlJc w:val="left"/>
      <w:pPr>
        <w:tabs>
          <w:tab w:val="num" w:pos="0"/>
        </w:tabs>
        <w:ind w:left="4320" w:hanging="360"/>
      </w:pPr>
      <w:rPr>
        <w:u w:val="none"/>
      </w:rPr>
    </w:lvl>
    <w:lvl w:ilvl="6">
      <w:start w:val="1"/>
      <w:numFmt w:val="lowerLetter"/>
      <w:lvlText w:val="%7."/>
      <w:lvlJc w:val="left"/>
      <w:pPr>
        <w:tabs>
          <w:tab w:val="num" w:pos="0"/>
        </w:tabs>
        <w:ind w:left="5040" w:hanging="360"/>
      </w:pPr>
      <w:rPr>
        <w:u w:val="none"/>
      </w:rPr>
    </w:lvl>
    <w:lvl w:ilvl="7">
      <w:start w:val="1"/>
      <w:numFmt w:val="lowerRoman"/>
      <w:lvlText w:val="%8."/>
      <w:lvlJc w:val="right"/>
      <w:pPr>
        <w:tabs>
          <w:tab w:val="num" w:pos="0"/>
        </w:tabs>
        <w:ind w:left="5760" w:hanging="360"/>
      </w:pPr>
      <w:rPr>
        <w:u w:val="none"/>
      </w:rPr>
    </w:lvl>
    <w:lvl w:ilvl="8">
      <w:start w:val="1"/>
      <w:numFmt w:val="decimal"/>
      <w:lvlText w:val="%9."/>
      <w:lvlJc w:val="lef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pl-PL" w:eastAsia="zh-CN" w:bidi="hi-IN"/>
      </w:rPr>
    </w:rPrDefault>
    <w:pPrDefault>
      <w:pPr>
        <w:suppressAutoHyphens w:val="true"/>
      </w:pPr>
    </w:pPrDefault>
  </w:docDefault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uiPriority w:val="99"/>
    <w:qFormat/>
    <w:rsid w:val="0050354e"/>
    <w:rPr/>
  </w:style>
  <w:style w:type="character" w:styleId="StopkaZnak" w:customStyle="1">
    <w:name w:val="Stopka Znak"/>
    <w:basedOn w:val="DefaultParagraphFont"/>
    <w:uiPriority w:val="99"/>
    <w:qFormat/>
    <w:rsid w:val="0050354e"/>
    <w:rPr/>
  </w:style>
  <w:style w:type="character" w:styleId="InternetLink">
    <w:name w:val="Internet Link"/>
    <w:basedOn w:val="DefaultParagraphFont"/>
    <w:uiPriority w:val="99"/>
    <w:unhideWhenUsed/>
    <w:qFormat/>
    <w:rsid w:val="00a024b7"/>
    <w:rPr>
      <w:color w:themeColor="hyperlink" w:val="0563C1"/>
      <w:u w:val="single"/>
    </w:rPr>
  </w:style>
  <w:style w:type="character" w:styleId="UnresolvedMention">
    <w:name w:val="Unresolved Mention"/>
    <w:basedOn w:val="DefaultParagraphFont"/>
    <w:uiPriority w:val="99"/>
    <w:semiHidden/>
    <w:unhideWhenUsed/>
    <w:qFormat/>
    <w:rsid w:val="00a024b7"/>
    <w:rPr>
      <w:color w:val="605E5C"/>
      <w:shd w:fill="E1DFDD" w:val="clear"/>
    </w:rPr>
  </w:style>
  <w:style w:type="character" w:styleId="Znakiwypunktowania">
    <w:name w:val="Znaki wypunktowania"/>
    <w:qFormat/>
    <w:rPr>
      <w:rFonts w:ascii="OpenSymbol" w:hAnsi="OpenSymbol" w:eastAsia="OpenSymbol" w:cs="OpenSymbol"/>
    </w:rPr>
  </w:style>
  <w:style w:type="character" w:styleId="InternetLink1">
    <w:name w:val="Internet Link1"/>
    <w:qFormat/>
    <w:rPr>
      <w:color w:val="000080"/>
      <w:u w:val="single"/>
    </w:rPr>
  </w:style>
  <w:style w:type="character" w:styleId="Hyperlink">
    <w:name w:val="Hyperlink"/>
    <w:rPr>
      <w:color w:val="000080"/>
      <w:u w:val="single"/>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LO-normal" w:default="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pl-PL" w:eastAsia="zh-CN" w:bidi="hi-IN"/>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LO-normal"/>
    <w:next w:val="LO-normal"/>
    <w:uiPriority w:val="11"/>
    <w:qFormat/>
    <w:pPr>
      <w:keepNext w:val="true"/>
      <w:keepLines/>
      <w:pageBreakBefore w:val="false"/>
      <w:widowControl/>
      <w:shd w:val="clear" w:fill="auto"/>
      <w:spacing w:lineRule="auto" w:line="259" w:before="360" w:after="80"/>
      <w:ind w:hanging="0" w:left="0" w:right="0"/>
      <w:jc w:val="left"/>
    </w:pPr>
    <w:rPr>
      <w:rFonts w:ascii="Georgia" w:hAnsi="Georgia" w:eastAsia="Georgia" w:cs="Georgia"/>
      <w:b w:val="false"/>
      <w:i/>
      <w:caps w:val="false"/>
      <w:smallCaps w:val="false"/>
      <w:strike w:val="false"/>
      <w:dstrike w:val="false"/>
      <w:color w:val="666666"/>
      <w:position w:val="0"/>
      <w:sz w:val="48"/>
      <w:sz w:val="48"/>
      <w:szCs w:val="48"/>
      <w:u w:val="none"/>
      <w:shd w:fill="auto" w:val="clear"/>
      <w:vertAlign w:val="baseline"/>
    </w:rPr>
  </w:style>
  <w:style w:type="paragraph" w:styleId="Gwkaistopka">
    <w:name w:val="Główka i stopka"/>
    <w:basedOn w:val="Normal"/>
    <w:qFormat/>
    <w:pPr/>
    <w:rPr/>
  </w:style>
  <w:style w:type="paragraph" w:styleId="Header">
    <w:name w:val="Header"/>
    <w:basedOn w:val="Normal"/>
    <w:link w:val="NagwekZnak"/>
    <w:uiPriority w:val="99"/>
    <w:unhideWhenUsed/>
    <w:rsid w:val="0050354e"/>
    <w:pPr>
      <w:tabs>
        <w:tab w:val="clear" w:pos="720"/>
        <w:tab w:val="center" w:pos="4536" w:leader="none"/>
        <w:tab w:val="right" w:pos="9072" w:leader="none"/>
      </w:tabs>
      <w:spacing w:lineRule="auto" w:line="240" w:before="0" w:after="0"/>
    </w:pPr>
    <w:rPr/>
  </w:style>
  <w:style w:type="paragraph" w:styleId="Footer">
    <w:name w:val="Footer"/>
    <w:basedOn w:val="Normal"/>
    <w:link w:val="StopkaZnak"/>
    <w:uiPriority w:val="99"/>
    <w:unhideWhenUsed/>
    <w:rsid w:val="0050354e"/>
    <w:pPr>
      <w:tabs>
        <w:tab w:val="clear" w:pos="720"/>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9e6192"/>
    <w:pPr>
      <w:spacing w:lineRule="auto" w:line="240" w:beforeAutospacing="1" w:afterAutospacing="1"/>
    </w:pPr>
    <w:rPr>
      <w:rFonts w:ascii="Times New Roman" w:hAnsi="Times New Roman" w:eastAsia="Times New Roman" w:cs="Times New Roman"/>
      <w:sz w:val="24"/>
      <w:szCs w:val="24"/>
    </w:rPr>
  </w:style>
  <w:style w:type="numbering" w:styleId="Bezlisty" w:default="1">
    <w:name w:val="Bez listy"/>
    <w:uiPriority w:val="99"/>
    <w:semiHidden/>
    <w:unhideWhenUsed/>
    <w:qFormat/>
  </w:style>
  <w:style w:type="table" w:default="1" w:styleId="TableNormal">
    <w:name w:val="Table Normal"/>
  </w:style>
  <w:style w:type="table" w:default="1" w:styleId="TableNormal">
    <w:name w:val="Table Normal"/>
  </w:style>
  <w:style w:type="table" w:default="1" w:styleId="TableNormal">
    <w:name w:val="Table Normal"/>
  </w:style>
  <w:style w:type="table" w:default="1" w:styleId="Standardowy">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styleId="Tabela-Siatka">
    <w:name w:val="Table Grid"/>
    <w:basedOn w:val="Standardowy"/>
    <w:uiPriority w:val="39"/>
    <w:rsid w:val="00a024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ranty@fileclo.pl" TargetMode="External"/><Relationship Id="rId3" Type="http://schemas.openxmlformats.org/officeDocument/2006/relationships/hyperlink" Target="mailto:pilaszek@trimen.pl"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dh1h7iopV8EGsYB/567DRFR7JZw==">CgMxLjAyDmgudHI3aTF2ZnZtMjdlMg5oLnR1czlhZnU3NjQzbjIJaC4xcHhlendjMgloLjFjaTkzeGIyCWguM3dod21sNDIJaC4yYm42d3N4MgloLjN6bnlzaDcyCGgudHlqY3d0OAByITFhbE1Kck8tcExXYTA2alRQUVJmOEw5dWlvdUdxeE0tRQ==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64</TotalTime>
  <Application>LibreOffice/24.2.4.2$Windows_X86_64 LibreOffice_project/51a6219feb6075d9a4c46691dcfe0cd9c4fff3c2</Application>
  <AppVersion>15.0000</AppVersion>
  <Pages>3</Pages>
  <Words>728</Words>
  <Characters>4765</Characters>
  <CharactersWithSpaces>5507</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2023-09-07T12:36:00Z</dcterms:created>
  <dc:creator>Katarzyna Waraksa</dc:creator>
  <dc:description/>
  <dc:language>pl-PL</dc:language>
  <cp:lastModifiedBy/>
  <dcterms:modified xsi:type="dcterms:W3CDTF">2024-07-16T10:24:20Z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