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16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in vivo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16-24-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in vivo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: </w:t>
      </w:r>
    </w:p>
    <w:tbl>
      <w:tblPr>
        <w:tblW w:w="8613" w:type="dxa"/>
        <w:jc w:val="left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06"/>
        <w:gridCol w:w="4206"/>
      </w:tblGrid>
      <w:tr>
        <w:trPr>
          <w:trHeight w:val="173" w:hRule="atLeast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Wartość</w:t>
            </w:r>
          </w:p>
        </w:tc>
      </w:tr>
      <w:tr>
        <w:trPr>
          <w:trHeight w:val="173" w:hRule="atLeast"/>
        </w:trPr>
        <w:tc>
          <w:tcPr>
            <w:tcW w:w="4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entury Gothic" w:hAnsi="Century Gothic"/>
                <w:sz w:val="24"/>
                <w:szCs w:val="24"/>
              </w:rPr>
              <w:t>Wykonanie doświadczenia</w:t>
            </w:r>
          </w:p>
        </w:tc>
        <w:tc>
          <w:tcPr>
            <w:tcW w:w="4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4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4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hd w:val="clear" w:fill="auto"/>
        <w:spacing w:lineRule="auto" w:line="360" w:before="0" w:after="0"/>
        <w:ind w:hanging="0" w:left="426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widowControl w:val="false"/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  <w:b w:val="fals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>
          <w:trHeight w:val="463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</w:tc>
      </w:tr>
      <w:tr>
        <w:trPr>
          <w:trHeight w:val="94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LibreOffice/24.2.4.2$Windows_X86_64 LibreOffice_project/51a6219feb6075d9a4c46691dcfe0cd9c4fff3c2</Application>
  <AppVersion>15.0000</AppVersion>
  <Pages>1</Pages>
  <Words>194</Words>
  <Characters>1416</Characters>
  <CharactersWithSpaces>1591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2024-07-16T10:07:54Z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