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right"/>
        <w:rPr/>
      </w:pPr>
      <w:r>
        <w:rPr>
          <w:rStyle w:val="Strong"/>
          <w:rFonts w:eastAsia="Century Gothic" w:cs="Century Gothic" w:ascii="Century Gothic" w:hAnsi="Century Gothic"/>
          <w:b w:val="false"/>
          <w:bCs w:val="false"/>
          <w:sz w:val="22"/>
          <w:szCs w:val="22"/>
        </w:rPr>
        <w:t>Łódź, June 8th 2026</w:t>
      </w:r>
    </w:p>
    <w:p>
      <w:pPr>
        <w:pStyle w:val="BodyText"/>
        <w:jc w:val="right"/>
        <w:rPr>
          <w:rStyle w:val="Strong"/>
          <w:rFonts w:ascii="Century Gothic" w:hAnsi="Century Gothic" w:eastAsia="Century Gothic" w:cs="Century Gothic"/>
          <w:b w:val="false"/>
          <w:bCs w:val="false"/>
          <w:sz w:val="22"/>
          <w:szCs w:val="22"/>
        </w:rPr>
      </w:pPr>
      <w:r>
        <w:rPr>
          <w:rFonts w:eastAsia="Century Gothic" w:cs="Century Gothic" w:ascii="Century Gothic" w:hAnsi="Century Gothic"/>
          <w:b w:val="false"/>
          <w:bCs w:val="false"/>
          <w:sz w:val="22"/>
          <w:szCs w:val="22"/>
        </w:rPr>
      </w:r>
    </w:p>
    <w:p>
      <w:pPr>
        <w:pStyle w:val="BodyText"/>
        <w:jc w:val="center"/>
        <w:rPr/>
      </w:pPr>
      <w:r>
        <w:rPr>
          <w:rStyle w:val="Strong"/>
          <w:rFonts w:ascii="Century Gothic" w:hAnsi="Century Gothic"/>
          <w:sz w:val="28"/>
          <w:szCs w:val="28"/>
        </w:rPr>
        <w:t>Market Research No. 58-26-clinical</w:t>
      </w:r>
    </w:p>
    <w:p>
      <w:pPr>
        <w:pStyle w:val="BodyText"/>
        <w:jc w:val="center"/>
        <w:rPr>
          <w:rStyle w:val="Strong"/>
          <w:rFonts w:ascii="Century Gothic" w:hAnsi="Century Gothic"/>
          <w:sz w:val="22"/>
          <w:szCs w:val="22"/>
        </w:rPr>
      </w:pPr>
      <w:r>
        <w:rPr>
          <w:rFonts w:ascii="Century Gothic" w:hAnsi="Century Gothic"/>
          <w:sz w:val="22"/>
          <w:szCs w:val="22"/>
        </w:rPr>
      </w:r>
    </w:p>
    <w:p>
      <w:pPr>
        <w:pStyle w:val="BodyText"/>
        <w:jc w:val="both"/>
        <w:rPr>
          <w:rFonts w:ascii="Century Gothic" w:hAnsi="Century Gothic"/>
          <w:sz w:val="22"/>
          <w:szCs w:val="22"/>
        </w:rPr>
      </w:pPr>
      <w:r>
        <w:rPr>
          <w:rFonts w:ascii="Century Gothic" w:hAnsi="Century Gothic"/>
          <w:sz w:val="22"/>
          <w:szCs w:val="22"/>
        </w:rPr>
        <w:t>The subject of the order is to conduct a Phase 1 clinical trial for the implementation of a commercial project as part of the Competition for the development of targeted or personalized medicine based on medicinal products based on nucleic acids and small-molecule compounds, co-financed by the Medical Research Agency.</w:t>
      </w:r>
    </w:p>
    <w:p>
      <w:pPr>
        <w:pStyle w:val="BodyText"/>
        <w:jc w:val="both"/>
        <w:rPr/>
      </w:pPr>
      <w:r>
        <w:rPr>
          <w:rStyle w:val="Strong"/>
          <w:rFonts w:ascii="Century Gothic" w:hAnsi="Century Gothic"/>
          <w:sz w:val="22"/>
          <w:szCs w:val="22"/>
        </w:rPr>
        <w:t>Ordering Party:</w:t>
      </w:r>
      <w:r>
        <w:rPr>
          <w:rFonts w:ascii="Century Gothic" w:hAnsi="Century Gothic"/>
          <w:sz w:val="22"/>
          <w:szCs w:val="22"/>
        </w:rPr>
        <w:t xml:space="preserve"> FiLeClo Ltd., Al. Piłsudskiego 141, 92-318 Łódź, NIP 7282829858</w:t>
      </w:r>
    </w:p>
    <w:p>
      <w:pPr>
        <w:pStyle w:val="BodyText"/>
        <w:jc w:val="both"/>
        <w:rPr/>
      </w:pPr>
      <w:r>
        <w:rPr>
          <w:rStyle w:val="Strong"/>
          <w:rFonts w:ascii="Century Gothic" w:hAnsi="Century Gothic"/>
          <w:sz w:val="28"/>
          <w:szCs w:val="28"/>
        </w:rPr>
        <w:t>1. Description of the order</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Conducting a Phase 1 clinical trial - the bidder will receive a clinical trial protocol after signing the NDA. The bid must cover all costs associated with conducting the trial, including, but not limited to:</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 Clinical site operations</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 Bioanalytics</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 CRF</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 Biostatistics</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 Data management</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 Monitoring</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 Medical monitoring</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 Pharmacovigilance</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t>- Biological sample logistics</w:t>
      </w:r>
    </w:p>
    <w:p>
      <w:pPr>
        <w:pStyle w:val="BodyText"/>
        <w:widowControl/>
        <w:spacing w:before="0" w:after="0"/>
        <w:ind w:hanging="0" w:left="0" w:right="0"/>
        <w:rPr>
          <w:rFonts w:ascii="Century Gothic" w:hAnsi="Century Gothic"/>
          <w:b w:val="false"/>
          <w:i w:val="false"/>
          <w:i w:val="false"/>
          <w:caps w:val="false"/>
          <w:smallCaps w:val="false"/>
          <w:color w:val="000000"/>
          <w:spacing w:val="0"/>
        </w:rPr>
      </w:pPr>
      <w:r>
        <w:rPr>
          <w:rFonts w:ascii="Century Gothic" w:hAnsi="Century Gothic"/>
          <w:b w:val="false"/>
          <w:i w:val="false"/>
          <w:caps w:val="false"/>
          <w:smallCaps w:val="false"/>
          <w:color w:val="000000"/>
          <w:spacing w:val="0"/>
        </w:rPr>
      </w:r>
    </w:p>
    <w:p>
      <w:pPr>
        <w:pStyle w:val="BodyText"/>
        <w:jc w:val="both"/>
        <w:rPr/>
      </w:pPr>
      <w:r>
        <w:rPr>
          <w:rStyle w:val="Strong"/>
          <w:rFonts w:ascii="Century Gothic" w:hAnsi="Century Gothic"/>
          <w:sz w:val="28"/>
          <w:szCs w:val="28"/>
        </w:rPr>
        <w:t>2. Conditions for participation in the market research</w:t>
      </w:r>
    </w:p>
    <w:p>
      <w:pPr>
        <w:pStyle w:val="BodyText"/>
        <w:jc w:val="both"/>
        <w:rPr/>
      </w:pPr>
      <w:r>
        <w:rPr>
          <w:rStyle w:val="Strong"/>
          <w:rFonts w:ascii="Century Gothic" w:hAnsi="Century Gothic"/>
          <w:sz w:val="22"/>
          <w:szCs w:val="22"/>
        </w:rPr>
        <w:t>Economic and financial situation</w:t>
      </w:r>
      <w:r>
        <w:rPr>
          <w:rFonts w:ascii="Century Gothic" w:hAnsi="Century Gothic"/>
          <w:sz w:val="22"/>
          <w:szCs w:val="22"/>
        </w:rPr>
        <w:t xml:space="preserve"> </w:t>
      </w:r>
    </w:p>
    <w:p>
      <w:pPr>
        <w:pStyle w:val="BodyText"/>
        <w:jc w:val="both"/>
        <w:rPr/>
      </w:pPr>
      <w:r>
        <w:rPr>
          <w:rFonts w:ascii="Century Gothic" w:hAnsi="Century Gothic"/>
          <w:sz w:val="22"/>
          <w:szCs w:val="22"/>
        </w:rPr>
        <w:t>The proceedings may be attended by entities that are in a financial situation that ensures the implementation of the subject of the order and those for which bankruptcy/liquidation proceedings have not been initiated or for which bankruptcy/liquidation has not been announced.</w:t>
      </w:r>
    </w:p>
    <w:p>
      <w:pPr>
        <w:pStyle w:val="BodyText"/>
        <w:jc w:val="both"/>
        <w:rPr/>
      </w:pPr>
      <w:r>
        <w:rPr>
          <w:rStyle w:val="Strong"/>
          <w:rFonts w:ascii="Century Gothic" w:hAnsi="Century Gothic"/>
          <w:sz w:val="22"/>
          <w:szCs w:val="22"/>
        </w:rPr>
        <w:t>Additional conditions</w:t>
      </w:r>
    </w:p>
    <w:p>
      <w:pPr>
        <w:pStyle w:val="BodyText"/>
        <w:numPr>
          <w:ilvl w:val="0"/>
          <w:numId w:val="1"/>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The ordering party reserves the right to cancel the market research without stating a reason.</w:t>
      </w:r>
    </w:p>
    <w:p>
      <w:pPr>
        <w:pStyle w:val="BodyText"/>
        <w:numPr>
          <w:ilvl w:val="0"/>
          <w:numId w:val="1"/>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In the event of cancellation of the market research, bidders are not entitled to claim reimbursement of participation costs.</w:t>
      </w:r>
    </w:p>
    <w:p>
      <w:pPr>
        <w:pStyle w:val="BodyText"/>
        <w:numPr>
          <w:ilvl w:val="0"/>
          <w:numId w:val="1"/>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The withdrawal by the ordering party from concluding the contract upon notifying the bidder of the selection of their offer cannot be the basis for claims for participation costs.</w:t>
      </w:r>
    </w:p>
    <w:p>
      <w:pPr>
        <w:pStyle w:val="BodyText"/>
        <w:numPr>
          <w:ilvl w:val="0"/>
          <w:numId w:val="1"/>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During the evaluation of submitted offers, the ordering party may request explanations from bidders regarding the content of the documents submitted by them.</w:t>
      </w:r>
    </w:p>
    <w:p>
      <w:pPr>
        <w:pStyle w:val="BodyText"/>
        <w:numPr>
          <w:ilvl w:val="0"/>
          <w:numId w:val="1"/>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The ordering party reserves the right to negotiate offers with the bidder whose offer has received the highest number of points, especially if the price offered by the bidder exceeds the budget allocated by the ordering party for the execution of the given order.</w:t>
      </w:r>
    </w:p>
    <w:p>
      <w:pPr>
        <w:pStyle w:val="BodyText"/>
        <w:numPr>
          <w:ilvl w:val="0"/>
          <w:numId w:val="1"/>
        </w:numPr>
        <w:tabs>
          <w:tab w:val="clear" w:pos="720"/>
          <w:tab w:val="left" w:pos="0" w:leader="none"/>
        </w:tabs>
        <w:ind w:hanging="283" w:left="709"/>
        <w:jc w:val="both"/>
        <w:rPr>
          <w:rFonts w:ascii="Century Gothic" w:hAnsi="Century Gothic"/>
          <w:sz w:val="22"/>
          <w:szCs w:val="22"/>
        </w:rPr>
      </w:pPr>
      <w:r>
        <w:rPr>
          <w:rFonts w:ascii="Century Gothic" w:hAnsi="Century Gothic"/>
          <w:sz w:val="22"/>
          <w:szCs w:val="22"/>
        </w:rPr>
        <w:t>The validity of the submitted offer is 14 days from the deadline for submission of offers.</w:t>
      </w:r>
    </w:p>
    <w:p>
      <w:pPr>
        <w:pStyle w:val="BodyText"/>
        <w:jc w:val="both"/>
        <w:rPr/>
      </w:pPr>
      <w:r>
        <w:rPr>
          <w:rStyle w:val="Strong"/>
          <w:rFonts w:ascii="Century Gothic" w:hAnsi="Century Gothic"/>
          <w:sz w:val="22"/>
          <w:szCs w:val="22"/>
        </w:rPr>
        <w:t>Conditions for changing the contract</w:t>
      </w:r>
      <w:r>
        <w:rPr>
          <w:rFonts w:ascii="Century Gothic" w:hAnsi="Century Gothic"/>
          <w:sz w:val="22"/>
          <w:szCs w:val="22"/>
        </w:rPr>
        <w:t xml:space="preserve"> </w:t>
      </w:r>
    </w:p>
    <w:p>
      <w:pPr>
        <w:pStyle w:val="BodyText"/>
        <w:jc w:val="both"/>
        <w:rPr/>
      </w:pPr>
      <w:r>
        <w:rPr>
          <w:rFonts w:ascii="Century Gothic" w:hAnsi="Century Gothic"/>
          <w:sz w:val="22"/>
          <w:szCs w:val="22"/>
        </w:rPr>
        <w:t xml:space="preserve">The ordering party will sign a contract with the selected bidder for the execution of the service within no more than 14 days from the date of completion of the selection procedure. </w:t>
      </w:r>
    </w:p>
    <w:p>
      <w:pPr>
        <w:pStyle w:val="BodyText"/>
        <w:jc w:val="both"/>
        <w:rPr/>
      </w:pPr>
      <w:r>
        <w:rPr>
          <w:rFonts w:ascii="Century Gothic" w:hAnsi="Century Gothic"/>
          <w:sz w:val="22"/>
          <w:szCs w:val="22"/>
        </w:rPr>
        <w:t xml:space="preserve">The ordering party reserves the right to amend the contract concluded with the bidder selected as a result of this inquiry, for the following reasons: </w:t>
      </w:r>
    </w:p>
    <w:p>
      <w:pPr>
        <w:pStyle w:val="BodyText"/>
        <w:numPr>
          <w:ilvl w:val="0"/>
          <w:numId w:val="3"/>
        </w:numPr>
        <w:jc w:val="both"/>
        <w:rPr/>
      </w:pPr>
      <w:r>
        <w:rPr>
          <w:rFonts w:ascii="Century Gothic" w:hAnsi="Century Gothic"/>
          <w:sz w:val="22"/>
          <w:szCs w:val="22"/>
        </w:rPr>
        <w:t xml:space="preserve">force majeure circumstances, e.g., an unforeseen event caused by external factors that could not have been predicted with certainty, especially those directly threatening human life or health or posing a risk of significant damage; </w:t>
      </w:r>
    </w:p>
    <w:p>
      <w:pPr>
        <w:pStyle w:val="BodyText"/>
        <w:numPr>
          <w:ilvl w:val="0"/>
          <w:numId w:val="3"/>
        </w:numPr>
        <w:jc w:val="both"/>
        <w:rPr/>
      </w:pPr>
      <w:r>
        <w:rPr>
          <w:rFonts w:ascii="Century Gothic" w:hAnsi="Century Gothic"/>
          <w:sz w:val="22"/>
          <w:szCs w:val="22"/>
        </w:rPr>
        <w:t xml:space="preserve">actions of third parties preventing the execution of the work, which are not the fault of either party to the contract. Any change in the order execution date is subject to acceptance by the ordering party and possibly the Intermediary Institution financing the project (according to the provisions of the funding agreement); </w:t>
      </w:r>
    </w:p>
    <w:p>
      <w:pPr>
        <w:pStyle w:val="BodyText"/>
        <w:numPr>
          <w:ilvl w:val="0"/>
          <w:numId w:val="3"/>
        </w:numPr>
        <w:jc w:val="both"/>
        <w:rPr/>
      </w:pPr>
      <w:r>
        <w:rPr>
          <w:rFonts w:ascii="Century Gothic" w:hAnsi="Century Gothic"/>
          <w:sz w:val="22"/>
          <w:szCs w:val="22"/>
        </w:rPr>
        <w:t>the occurrence of another, unforeseeable legal, economic, or technical circumstance at the time of concluding the contract, for which neither party is responsible, resulting in the inability to properly execute the contract in accordance with the provisions of the inquiry;</w:t>
      </w:r>
    </w:p>
    <w:p>
      <w:pPr>
        <w:pStyle w:val="BodyText"/>
        <w:numPr>
          <w:ilvl w:val="0"/>
          <w:numId w:val="3"/>
        </w:numPr>
        <w:jc w:val="both"/>
        <w:rPr/>
      </w:pPr>
      <w:r>
        <w:rPr>
          <w:rFonts w:ascii="Century Gothic" w:hAnsi="Century Gothic"/>
          <w:sz w:val="22"/>
          <w:szCs w:val="22"/>
        </w:rPr>
        <w:t>changes in legal regulations in force on the day of signing the contract.</w:t>
      </w:r>
    </w:p>
    <w:p>
      <w:pPr>
        <w:pStyle w:val="BodyText"/>
        <w:jc w:val="both"/>
        <w:rPr/>
      </w:pPr>
      <w:r>
        <w:rPr>
          <w:rStyle w:val="Strong"/>
          <w:rFonts w:ascii="Century Gothic" w:hAnsi="Century Gothic"/>
          <w:sz w:val="22"/>
          <w:szCs w:val="22"/>
        </w:rPr>
        <w:t>List of documents/statements required from the Contractor</w:t>
      </w:r>
      <w:r>
        <w:rPr>
          <w:rFonts w:ascii="Century Gothic" w:hAnsi="Century Gothic"/>
          <w:sz w:val="22"/>
          <w:szCs w:val="22"/>
        </w:rPr>
        <w:t xml:space="preserve"> </w:t>
      </w:r>
    </w:p>
    <w:p>
      <w:pPr>
        <w:pStyle w:val="BodyText"/>
        <w:jc w:val="left"/>
        <w:rPr/>
      </w:pPr>
      <w:r>
        <w:rPr>
          <w:rFonts w:ascii="Century Gothic" w:hAnsi="Century Gothic"/>
          <w:sz w:val="22"/>
          <w:szCs w:val="22"/>
        </w:rPr>
        <w:t>Annex No. 1 – Offer Form</w:t>
        <w:br/>
        <w:t>Annex No. 2 –  Statement</w:t>
      </w:r>
    </w:p>
    <w:p>
      <w:pPr>
        <w:pStyle w:val="BodyText"/>
        <w:jc w:val="both"/>
        <w:rPr/>
      </w:pPr>
      <w:r>
        <w:rPr>
          <w:rStyle w:val="Strong"/>
          <w:rFonts w:ascii="Century Gothic" w:hAnsi="Century Gothic"/>
          <w:sz w:val="22"/>
          <w:szCs w:val="22"/>
        </w:rPr>
        <w:t>Supplementary orders</w:t>
      </w:r>
    </w:p>
    <w:p>
      <w:pPr>
        <w:pStyle w:val="BodyText"/>
        <w:jc w:val="both"/>
        <w:rPr/>
      </w:pPr>
      <w:r>
        <w:rPr>
          <w:rFonts w:ascii="Century Gothic" w:hAnsi="Century Gothic"/>
          <w:sz w:val="22"/>
          <w:szCs w:val="22"/>
        </w:rPr>
        <w:t>Supplementary orders can be placed with the selected bidder only if they align with the main purpose of this order and do not exceed 50% of the value of this order.</w:t>
      </w:r>
    </w:p>
    <w:p>
      <w:pPr>
        <w:pStyle w:val="BodyText"/>
        <w:jc w:val="both"/>
        <w:rPr/>
      </w:pPr>
      <w:r>
        <w:rPr>
          <w:rStyle w:val="Strong"/>
          <w:rFonts w:ascii="Century Gothic" w:hAnsi="Century Gothic"/>
          <w:sz w:val="28"/>
          <w:szCs w:val="28"/>
        </w:rPr>
        <w:t>3. Place and method of submitting offers</w:t>
      </w:r>
    </w:p>
    <w:p>
      <w:pPr>
        <w:pStyle w:val="BodyText"/>
        <w:numPr>
          <w:ilvl w:val="0"/>
          <w:numId w:val="4"/>
        </w:numPr>
        <w:jc w:val="both"/>
        <w:rPr/>
      </w:pPr>
      <w:r>
        <w:rPr>
          <w:rFonts w:ascii="Century Gothic" w:hAnsi="Century Gothic"/>
          <w:sz w:val="22"/>
          <w:szCs w:val="22"/>
        </w:rPr>
        <w:t xml:space="preserve">Deadline for submitting offers: 17th June 2026. Offers submitted after the deadline will not be considered. </w:t>
      </w:r>
    </w:p>
    <w:p>
      <w:pPr>
        <w:pStyle w:val="BodyText"/>
        <w:numPr>
          <w:ilvl w:val="0"/>
          <w:numId w:val="4"/>
        </w:numPr>
        <w:jc w:val="both"/>
        <w:rPr/>
      </w:pPr>
      <w:r>
        <w:rPr>
          <w:rFonts w:ascii="Century Gothic" w:hAnsi="Century Gothic"/>
          <w:sz w:val="22"/>
          <w:szCs w:val="22"/>
        </w:rPr>
        <w:t>The offer, along with the required attachments, should be submitted electronically to the email address: granty@fileclo.pl or pilaszek@trimen.pl The subject of the message should include the inquiry number i.e., 58-26-clinical</w:t>
      </w:r>
    </w:p>
    <w:p>
      <w:pPr>
        <w:pStyle w:val="BodyText"/>
        <w:numPr>
          <w:ilvl w:val="0"/>
          <w:numId w:val="4"/>
        </w:numPr>
        <w:jc w:val="both"/>
        <w:rPr/>
      </w:pPr>
      <w:r>
        <w:rPr>
          <w:rFonts w:ascii="Century Gothic" w:hAnsi="Century Gothic"/>
          <w:sz w:val="22"/>
          <w:szCs w:val="22"/>
        </w:rPr>
        <w:t>Contact person regarding the announcement: Przemysław Pilaszek, +48 602 306 668</w:t>
      </w:r>
    </w:p>
    <w:p>
      <w:pPr>
        <w:pStyle w:val="BodyText"/>
        <w:jc w:val="both"/>
        <w:rPr>
          <w:rFonts w:ascii="Century Gothic" w:hAnsi="Century Gothic"/>
          <w:b/>
          <w:bCs/>
          <w:sz w:val="28"/>
          <w:szCs w:val="28"/>
        </w:rPr>
      </w:pPr>
      <w:r>
        <w:rPr>
          <w:rFonts w:ascii="Century Gothic" w:hAnsi="Century Gothic"/>
          <w:b/>
          <w:bCs/>
          <w:sz w:val="28"/>
          <w:szCs w:val="28"/>
        </w:rPr>
        <w:t>4. Offer evaluation criteria</w:t>
      </w:r>
    </w:p>
    <w:p>
      <w:pPr>
        <w:pStyle w:val="BodyText"/>
        <w:jc w:val="both"/>
        <w:rPr>
          <w:rFonts w:ascii="Century Gothic" w:hAnsi="Century Gothic"/>
          <w:sz w:val="22"/>
          <w:szCs w:val="22"/>
        </w:rPr>
      </w:pPr>
      <w:r>
        <w:rPr>
          <w:rFonts w:ascii="Century Gothic" w:hAnsi="Century Gothic"/>
          <w:sz w:val="22"/>
          <w:szCs w:val="22"/>
        </w:rPr>
        <w:t>Net price of the lowest offer/net price of the evaluated offer x 100% = number of points</w:t>
      </w:r>
    </w:p>
    <w:p>
      <w:pPr>
        <w:pStyle w:val="BodyText"/>
        <w:numPr>
          <w:ilvl w:val="0"/>
          <w:numId w:val="2"/>
        </w:numPr>
        <w:tabs>
          <w:tab w:val="clear" w:pos="720"/>
          <w:tab w:val="left" w:pos="0" w:leader="none"/>
        </w:tabs>
        <w:spacing w:before="0" w:after="0"/>
        <w:ind w:hanging="283" w:left="709"/>
        <w:jc w:val="both"/>
        <w:rPr>
          <w:rFonts w:ascii="Century Gothic" w:hAnsi="Century Gothic"/>
          <w:sz w:val="22"/>
          <w:szCs w:val="22"/>
        </w:rPr>
      </w:pPr>
      <w:r>
        <w:rPr>
          <w:rFonts w:ascii="Century Gothic" w:hAnsi="Century Gothic"/>
          <w:sz w:val="22"/>
          <w:szCs w:val="22"/>
        </w:rPr>
        <w:t>The most advantageous offer will be considered the one that obtains the highest number of points.</w:t>
      </w:r>
    </w:p>
    <w:p>
      <w:pPr>
        <w:pStyle w:val="BodyText"/>
        <w:numPr>
          <w:ilvl w:val="0"/>
          <w:numId w:val="2"/>
        </w:numPr>
        <w:tabs>
          <w:tab w:val="clear" w:pos="720"/>
          <w:tab w:val="left" w:pos="0" w:leader="none"/>
        </w:tabs>
        <w:ind w:hanging="283" w:left="709"/>
        <w:jc w:val="both"/>
        <w:rPr>
          <w:rFonts w:ascii="Century Gothic" w:hAnsi="Century Gothic"/>
          <w:sz w:val="22"/>
          <w:szCs w:val="22"/>
        </w:rPr>
      </w:pPr>
      <w:r>
        <w:rPr>
          <w:rFonts w:ascii="Century Gothic" w:hAnsi="Century Gothic"/>
          <w:sz w:val="22"/>
          <w:szCs w:val="22"/>
        </w:rPr>
        <w:t>If two or more offers receive the same number of points, the ordering party will conduct price negotiations with the bidders and select the most advantageous offer in terms of price.</w:t>
      </w:r>
    </w:p>
    <w:p>
      <w:pPr>
        <w:pStyle w:val="Normal"/>
        <w:spacing w:before="0" w:after="160"/>
        <w:jc w:val="both"/>
        <w:rPr>
          <w:rFonts w:ascii="Century Gothic" w:hAnsi="Century Gothic"/>
          <w:sz w:val="22"/>
          <w:szCs w:val="22"/>
        </w:rPr>
      </w:pPr>
      <w:r>
        <w:rPr>
          <w:rFonts w:ascii="Century Gothic" w:hAnsi="Century Gothic"/>
          <w:sz w:val="22"/>
          <w:szCs w:val="22"/>
        </w:rPr>
      </w:r>
    </w:p>
    <w:sectPr>
      <w:headerReference w:type="even" r:id="rId2"/>
      <w:headerReference w:type="default" r:id="rId3"/>
      <w:headerReference w:type="first" r:id="rId4"/>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entury Gothic">
    <w:charset w:val="00"/>
    <w:family w:val="roman"/>
    <w:pitch w:val="variable"/>
  </w:font>
  <w:font w:name="Liberation Sans">
    <w:altName w:val="Arial"/>
    <w:charset w:val="00"/>
    <w:family w:val="roman"/>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lowerLetter"/>
      <w:lvlText w:val="%1)"/>
      <w:lvlJc w:val="left"/>
      <w:pPr>
        <w:tabs>
          <w:tab w:val="num" w:pos="720"/>
        </w:tabs>
        <w:ind w:left="720" w:hanging="360"/>
      </w:pPr>
      <w:rPr>
        <w:rFonts w:ascii="Century Gothic" w:hAnsi="Century Gothic"/>
      </w:rPr>
    </w:lvl>
    <w:lvl w:ilvl="1">
      <w:start w:val="1"/>
      <w:numFmt w:val="lowerLetter"/>
      <w:lvlText w:val="%2)"/>
      <w:lvlJc w:val="left"/>
      <w:pPr>
        <w:tabs>
          <w:tab w:val="num" w:pos="1080"/>
        </w:tabs>
        <w:ind w:left="1080" w:hanging="360"/>
      </w:pPr>
      <w:rPr>
        <w:rFonts w:ascii="Century Gothic" w:hAnsi="Century Gothic"/>
      </w:rPr>
    </w:lvl>
    <w:lvl w:ilvl="2">
      <w:start w:val="1"/>
      <w:numFmt w:val="lowerLetter"/>
      <w:lvlText w:val="%3)"/>
      <w:lvlJc w:val="left"/>
      <w:pPr>
        <w:tabs>
          <w:tab w:val="num" w:pos="1440"/>
        </w:tabs>
        <w:ind w:left="1440" w:hanging="360"/>
      </w:pPr>
      <w:rPr>
        <w:rFonts w:ascii="Century Gothic" w:hAnsi="Century Gothic"/>
      </w:rPr>
    </w:lvl>
    <w:lvl w:ilvl="3">
      <w:start w:val="1"/>
      <w:numFmt w:val="lowerLetter"/>
      <w:lvlText w:val="%4)"/>
      <w:lvlJc w:val="left"/>
      <w:pPr>
        <w:tabs>
          <w:tab w:val="num" w:pos="1800"/>
        </w:tabs>
        <w:ind w:left="1800" w:hanging="360"/>
      </w:pPr>
      <w:rPr>
        <w:rFonts w:ascii="Century Gothic" w:hAnsi="Century Gothic"/>
      </w:rPr>
    </w:lvl>
    <w:lvl w:ilvl="4">
      <w:start w:val="1"/>
      <w:numFmt w:val="lowerLetter"/>
      <w:lvlText w:val="%5)"/>
      <w:lvlJc w:val="left"/>
      <w:pPr>
        <w:tabs>
          <w:tab w:val="num" w:pos="2160"/>
        </w:tabs>
        <w:ind w:left="2160" w:hanging="360"/>
      </w:pPr>
      <w:rPr>
        <w:rFonts w:ascii="Century Gothic" w:hAnsi="Century Gothic"/>
      </w:rPr>
    </w:lvl>
    <w:lvl w:ilvl="5">
      <w:start w:val="1"/>
      <w:numFmt w:val="lowerLetter"/>
      <w:lvlText w:val="%6)"/>
      <w:lvlJc w:val="left"/>
      <w:pPr>
        <w:tabs>
          <w:tab w:val="num" w:pos="2520"/>
        </w:tabs>
        <w:ind w:left="2520" w:hanging="360"/>
      </w:pPr>
      <w:rPr>
        <w:rFonts w:ascii="Century Gothic" w:hAnsi="Century Gothic"/>
      </w:rPr>
    </w:lvl>
    <w:lvl w:ilvl="6">
      <w:start w:val="1"/>
      <w:numFmt w:val="lowerLetter"/>
      <w:lvlText w:val="%7)"/>
      <w:lvlJc w:val="left"/>
      <w:pPr>
        <w:tabs>
          <w:tab w:val="num" w:pos="2880"/>
        </w:tabs>
        <w:ind w:left="2880" w:hanging="360"/>
      </w:pPr>
      <w:rPr>
        <w:rFonts w:ascii="Century Gothic" w:hAnsi="Century Gothic"/>
      </w:rPr>
    </w:lvl>
    <w:lvl w:ilvl="7">
      <w:start w:val="1"/>
      <w:numFmt w:val="lowerLetter"/>
      <w:lvlText w:val="%8)"/>
      <w:lvlJc w:val="left"/>
      <w:pPr>
        <w:tabs>
          <w:tab w:val="num" w:pos="3240"/>
        </w:tabs>
        <w:ind w:left="3240" w:hanging="360"/>
      </w:pPr>
      <w:rPr>
        <w:rFonts w:ascii="Century Gothic" w:hAnsi="Century Gothic"/>
      </w:rPr>
    </w:lvl>
    <w:lvl w:ilvl="8">
      <w:start w:val="1"/>
      <w:numFmt w:val="lowerLetter"/>
      <w:lvlText w:val="%9)"/>
      <w:lvlJc w:val="left"/>
      <w:pPr>
        <w:tabs>
          <w:tab w:val="num" w:pos="3600"/>
        </w:tabs>
        <w:ind w:left="3600" w:hanging="360"/>
      </w:pPr>
      <w:rPr>
        <w:rFonts w:ascii="Century Gothic" w:hAnsi="Century Gothic"/>
      </w:rPr>
    </w:lvl>
  </w:abstractNum>
  <w:abstractNum w:abstractNumId="4">
    <w:lvl w:ilvl="0">
      <w:start w:val="1"/>
      <w:numFmt w:val="lowerLetter"/>
      <w:lvlText w:val="%1)"/>
      <w:lvlJc w:val="left"/>
      <w:pPr>
        <w:tabs>
          <w:tab w:val="num" w:pos="720"/>
        </w:tabs>
        <w:ind w:left="720" w:hanging="360"/>
      </w:pPr>
      <w:rPr>
        <w:rFonts w:ascii="Century Gothic" w:hAnsi="Century Gothic"/>
      </w:rPr>
    </w:lvl>
    <w:lvl w:ilvl="1">
      <w:start w:val="1"/>
      <w:numFmt w:val="lowerLetter"/>
      <w:lvlText w:val="%2)"/>
      <w:lvlJc w:val="left"/>
      <w:pPr>
        <w:tabs>
          <w:tab w:val="num" w:pos="1080"/>
        </w:tabs>
        <w:ind w:left="1080" w:hanging="360"/>
      </w:pPr>
      <w:rPr>
        <w:rFonts w:ascii="Century Gothic" w:hAnsi="Century Gothic"/>
      </w:rPr>
    </w:lvl>
    <w:lvl w:ilvl="2">
      <w:start w:val="1"/>
      <w:numFmt w:val="lowerLetter"/>
      <w:lvlText w:val="%3)"/>
      <w:lvlJc w:val="left"/>
      <w:pPr>
        <w:tabs>
          <w:tab w:val="num" w:pos="1440"/>
        </w:tabs>
        <w:ind w:left="1440" w:hanging="360"/>
      </w:pPr>
      <w:rPr>
        <w:rFonts w:ascii="Century Gothic" w:hAnsi="Century Gothic"/>
      </w:rPr>
    </w:lvl>
    <w:lvl w:ilvl="3">
      <w:start w:val="1"/>
      <w:numFmt w:val="lowerLetter"/>
      <w:lvlText w:val="%4)"/>
      <w:lvlJc w:val="left"/>
      <w:pPr>
        <w:tabs>
          <w:tab w:val="num" w:pos="1800"/>
        </w:tabs>
        <w:ind w:left="1800" w:hanging="360"/>
      </w:pPr>
      <w:rPr>
        <w:rFonts w:ascii="Century Gothic" w:hAnsi="Century Gothic"/>
      </w:rPr>
    </w:lvl>
    <w:lvl w:ilvl="4">
      <w:start w:val="1"/>
      <w:numFmt w:val="lowerLetter"/>
      <w:lvlText w:val="%5)"/>
      <w:lvlJc w:val="left"/>
      <w:pPr>
        <w:tabs>
          <w:tab w:val="num" w:pos="2160"/>
        </w:tabs>
        <w:ind w:left="2160" w:hanging="360"/>
      </w:pPr>
      <w:rPr>
        <w:rFonts w:ascii="Century Gothic" w:hAnsi="Century Gothic"/>
      </w:rPr>
    </w:lvl>
    <w:lvl w:ilvl="5">
      <w:start w:val="1"/>
      <w:numFmt w:val="lowerLetter"/>
      <w:lvlText w:val="%6)"/>
      <w:lvlJc w:val="left"/>
      <w:pPr>
        <w:tabs>
          <w:tab w:val="num" w:pos="2520"/>
        </w:tabs>
        <w:ind w:left="2520" w:hanging="360"/>
      </w:pPr>
      <w:rPr>
        <w:rFonts w:ascii="Century Gothic" w:hAnsi="Century Gothic"/>
      </w:rPr>
    </w:lvl>
    <w:lvl w:ilvl="6">
      <w:start w:val="1"/>
      <w:numFmt w:val="lowerLetter"/>
      <w:lvlText w:val="%7)"/>
      <w:lvlJc w:val="left"/>
      <w:pPr>
        <w:tabs>
          <w:tab w:val="num" w:pos="2880"/>
        </w:tabs>
        <w:ind w:left="2880" w:hanging="360"/>
      </w:pPr>
      <w:rPr>
        <w:rFonts w:ascii="Century Gothic" w:hAnsi="Century Gothic"/>
      </w:rPr>
    </w:lvl>
    <w:lvl w:ilvl="7">
      <w:start w:val="1"/>
      <w:numFmt w:val="lowerLetter"/>
      <w:lvlText w:val="%8)"/>
      <w:lvlJc w:val="left"/>
      <w:pPr>
        <w:tabs>
          <w:tab w:val="num" w:pos="3240"/>
        </w:tabs>
        <w:ind w:left="3240" w:hanging="360"/>
      </w:pPr>
      <w:rPr>
        <w:rFonts w:ascii="Century Gothic" w:hAnsi="Century Gothic"/>
      </w:rPr>
    </w:lvl>
    <w:lvl w:ilvl="8">
      <w:start w:val="1"/>
      <w:numFmt w:val="lowerLetter"/>
      <w:lvlText w:val="%9)"/>
      <w:lvlJc w:val="left"/>
      <w:pPr>
        <w:tabs>
          <w:tab w:val="num" w:pos="3600"/>
        </w:tabs>
        <w:ind w:left="3600" w:hanging="360"/>
      </w:pPr>
      <w:rPr>
        <w:rFonts w:ascii="Century Gothic" w:hAnsi="Century Gothic"/>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Strong">
    <w:name w:val="Strong"/>
    <w:qFormat/>
    <w:rPr>
      <w:b/>
      <w:bCs/>
    </w:rPr>
  </w:style>
  <w:style w:type="character" w:styleId="Znakinumeracji">
    <w:name w:val="Znaki numeracji"/>
    <w:qFormat/>
    <w:rPr>
      <w:rFonts w:ascii="Century Gothic" w:hAnsi="Century Gothic"/>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l-PL" w:eastAsia="zh-CN" w:bidi="hi-IN"/>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87</TotalTime>
  <Application>LibreOffice/24.2.4.2$Windows_X86_64 LibreOffice_project/51a6219feb6075d9a4c46691dcfe0cd9c4fff3c2</Application>
  <AppVersion>15.0000</AppVersion>
  <Pages>3</Pages>
  <Words>731</Words>
  <Characters>3893</Characters>
  <CharactersWithSpaces>4608</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2026-06-09T10:52:37Z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