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In response to the request for proposals No. 3</w:t>
      </w:r>
      <w:r>
        <w:rPr>
          <w:rFonts w:ascii="Times New Roman" w:hAnsi="Times New Roman"/>
        </w:rPr>
        <w:t>7</w:t>
      </w:r>
      <w:r>
        <w:rPr>
          <w:rFonts w:ascii="Times New Roman" w:hAnsi="Times New Roman"/>
        </w:rPr>
        <w:t>/25/</w:t>
      </w:r>
      <w:r>
        <w:rPr>
          <w:rFonts w:ascii="Times New Roman" w:hAnsi="Times New Roman"/>
        </w:rPr>
        <w:t>advice</w:t>
      </w:r>
      <w:r>
        <w:rPr>
          <w:rFonts w:ascii="Times New Roman" w:hAnsi="Times New Roman"/>
        </w:rPr>
        <w:t xml:space="preserve"> concerning </w:t>
      </w:r>
      <w:r>
        <w:rPr>
          <w:rFonts w:ascii="Times New Roman" w:hAnsi="Times New Roman"/>
        </w:rPr>
        <w:t>organization and implementation of scientific advice</w:t>
      </w:r>
      <w:r>
        <w:rPr>
          <w:rFonts w:ascii="Times New Roman" w:hAnsi="Times New Roman"/>
        </w:rPr>
        <w:t>,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205</Words>
  <Characters>1141</Characters>
  <CharactersWithSpaces>1338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2025-04-03T14:26:46Z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